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B29" w:rsidRDefault="001E7B29" w:rsidP="001E7B29">
      <w:pPr>
        <w:pStyle w:val="ConsPlusNormal"/>
        <w:ind w:firstLine="0"/>
        <w:jc w:val="center"/>
        <w:rPr>
          <w:rFonts w:ascii="Times New Roman" w:hAnsi="Times New Roman" w:cs="Times New Roman"/>
          <w:b/>
          <w:sz w:val="27"/>
          <w:szCs w:val="27"/>
        </w:rPr>
      </w:pPr>
      <w:r w:rsidRPr="00BF51BC">
        <w:rPr>
          <w:rFonts w:ascii="Times New Roman" w:hAnsi="Times New Roman" w:cs="Times New Roman"/>
          <w:b/>
          <w:sz w:val="27"/>
          <w:szCs w:val="27"/>
          <w:lang w:val="en-US"/>
        </w:rPr>
        <w:t>V</w:t>
      </w:r>
      <w:r w:rsidRPr="00BF51BC">
        <w:rPr>
          <w:rFonts w:ascii="Times New Roman" w:hAnsi="Times New Roman" w:cs="Times New Roman"/>
          <w:b/>
          <w:sz w:val="27"/>
          <w:szCs w:val="27"/>
        </w:rPr>
        <w:t xml:space="preserve">. </w:t>
      </w:r>
      <w:r>
        <w:rPr>
          <w:rFonts w:ascii="Times New Roman" w:hAnsi="Times New Roman" w:cs="Times New Roman"/>
          <w:b/>
          <w:sz w:val="27"/>
          <w:szCs w:val="27"/>
        </w:rPr>
        <w:t xml:space="preserve">1. </w:t>
      </w:r>
      <w:r w:rsidRPr="00BF51BC">
        <w:rPr>
          <w:rFonts w:ascii="Times New Roman" w:hAnsi="Times New Roman" w:cs="Times New Roman"/>
          <w:b/>
          <w:sz w:val="27"/>
          <w:szCs w:val="27"/>
        </w:rPr>
        <w:t>ПОРЯДОК РАССМОТРЕНИЯ И ОЦЕНКИ ЗАЯВОК НА УЧАСТИЕ В КОНКУРСЕ</w:t>
      </w:r>
    </w:p>
    <w:p w:rsidR="001E7B29" w:rsidRDefault="001E7B29" w:rsidP="001E7B29">
      <w:pPr>
        <w:pStyle w:val="ConsPlusNormal"/>
        <w:ind w:firstLine="0"/>
        <w:rPr>
          <w:rFonts w:ascii="Times New Roman" w:hAnsi="Times New Roman" w:cs="Times New Roman"/>
          <w:b/>
          <w:sz w:val="27"/>
          <w:szCs w:val="27"/>
        </w:rPr>
      </w:pPr>
    </w:p>
    <w:p w:rsidR="001E7B29" w:rsidRPr="00F2598B" w:rsidRDefault="001E7B29" w:rsidP="00115F6E">
      <w:pPr>
        <w:ind w:left="708"/>
        <w:jc w:val="center"/>
        <w:rPr>
          <w:b/>
        </w:rPr>
      </w:pPr>
      <w:r w:rsidRPr="00F2598B">
        <w:rPr>
          <w:b/>
        </w:rPr>
        <w:t>Критерии и показатели оценки заявок на участие в закупке</w:t>
      </w:r>
    </w:p>
    <w:p w:rsidR="001E7B29" w:rsidRPr="00F2598B" w:rsidRDefault="001E7B29" w:rsidP="001E7B29"/>
    <w:tbl>
      <w:tblPr>
        <w:tblStyle w:val="a3"/>
        <w:tblW w:w="5213" w:type="pct"/>
        <w:jc w:val="center"/>
        <w:tblLayout w:type="fixed"/>
        <w:tblLook w:val="04A0" w:firstRow="1" w:lastRow="0" w:firstColumn="1" w:lastColumn="0" w:noHBand="0" w:noVBand="1"/>
      </w:tblPr>
      <w:tblGrid>
        <w:gridCol w:w="754"/>
        <w:gridCol w:w="1803"/>
        <w:gridCol w:w="1604"/>
        <w:gridCol w:w="1604"/>
        <w:gridCol w:w="2005"/>
        <w:gridCol w:w="1804"/>
        <w:gridCol w:w="2205"/>
        <w:gridCol w:w="3637"/>
      </w:tblGrid>
      <w:tr w:rsidR="001E7B29" w:rsidTr="00DE6FC3">
        <w:trPr>
          <w:tblHeader/>
          <w:jc w:val="center"/>
        </w:trPr>
        <w:tc>
          <w:tcPr>
            <w:tcW w:w="754" w:type="dxa"/>
            <w:shd w:val="clear" w:color="auto" w:fill="D9D9D9" w:themeFill="background1" w:themeFillShade="D9"/>
          </w:tcPr>
          <w:p w:rsidR="001E7B29" w:rsidRPr="00622A09" w:rsidRDefault="001E7B29" w:rsidP="00F54A5A">
            <w:pPr>
              <w:tabs>
                <w:tab w:val="left" w:pos="-360"/>
                <w:tab w:val="left" w:pos="360"/>
              </w:tabs>
              <w:ind w:firstLine="0"/>
            </w:pPr>
            <w:r w:rsidRPr="00622A09">
              <w:t>№</w:t>
            </w:r>
          </w:p>
        </w:tc>
        <w:tc>
          <w:tcPr>
            <w:tcW w:w="1803" w:type="dxa"/>
            <w:shd w:val="clear" w:color="auto" w:fill="D9D9D9" w:themeFill="background1" w:themeFillShade="D9"/>
          </w:tcPr>
          <w:p w:rsidR="001E7B29" w:rsidRPr="00622A09" w:rsidRDefault="001E7B29" w:rsidP="00F54A5A">
            <w:pPr>
              <w:tabs>
                <w:tab w:val="left" w:pos="-360"/>
                <w:tab w:val="left" w:pos="360"/>
              </w:tabs>
              <w:ind w:firstLine="12"/>
              <w:jc w:val="center"/>
            </w:pPr>
            <w:r>
              <w:t>Критерий оценки</w:t>
            </w:r>
          </w:p>
        </w:tc>
        <w:tc>
          <w:tcPr>
            <w:tcW w:w="1604" w:type="dxa"/>
            <w:shd w:val="clear" w:color="auto" w:fill="D9D9D9" w:themeFill="background1" w:themeFillShade="D9"/>
          </w:tcPr>
          <w:p w:rsidR="001E7B29" w:rsidRPr="00622A09" w:rsidRDefault="001E7B29" w:rsidP="00F54A5A">
            <w:pPr>
              <w:tabs>
                <w:tab w:val="left" w:pos="-360"/>
                <w:tab w:val="left" w:pos="360"/>
              </w:tabs>
              <w:ind w:firstLine="5"/>
              <w:jc w:val="center"/>
            </w:pPr>
            <w:r>
              <w:t>Значимость критерия оценки, процентов</w:t>
            </w:r>
          </w:p>
        </w:tc>
        <w:tc>
          <w:tcPr>
            <w:tcW w:w="1604" w:type="dxa"/>
            <w:shd w:val="clear" w:color="auto" w:fill="D9D9D9" w:themeFill="background1" w:themeFillShade="D9"/>
          </w:tcPr>
          <w:p w:rsidR="001E7B29" w:rsidRPr="00622A09" w:rsidRDefault="001E7B29" w:rsidP="00F54A5A">
            <w:pPr>
              <w:tabs>
                <w:tab w:val="left" w:pos="-360"/>
                <w:tab w:val="left" w:pos="360"/>
              </w:tabs>
              <w:ind w:firstLine="5"/>
              <w:jc w:val="center"/>
            </w:pPr>
            <w:r>
              <w:t>Показатель оценки</w:t>
            </w:r>
          </w:p>
        </w:tc>
        <w:tc>
          <w:tcPr>
            <w:tcW w:w="2005" w:type="dxa"/>
            <w:shd w:val="clear" w:color="auto" w:fill="D9D9D9" w:themeFill="background1" w:themeFillShade="D9"/>
          </w:tcPr>
          <w:p w:rsidR="001E7B29" w:rsidRPr="00622A09" w:rsidRDefault="001E7B29" w:rsidP="00F54A5A">
            <w:pPr>
              <w:tabs>
                <w:tab w:val="left" w:pos="-360"/>
                <w:tab w:val="left" w:pos="360"/>
              </w:tabs>
              <w:ind w:firstLine="5"/>
              <w:jc w:val="center"/>
            </w:pPr>
            <w:r>
              <w:t>Значимость показателя оценки, процентов</w:t>
            </w:r>
          </w:p>
        </w:tc>
        <w:tc>
          <w:tcPr>
            <w:tcW w:w="1804" w:type="dxa"/>
            <w:shd w:val="clear" w:color="auto" w:fill="D9D9D9" w:themeFill="background1" w:themeFillShade="D9"/>
          </w:tcPr>
          <w:p w:rsidR="001E7B29" w:rsidRPr="00622A09" w:rsidRDefault="001E7B29" w:rsidP="00F54A5A">
            <w:pPr>
              <w:tabs>
                <w:tab w:val="left" w:pos="-360"/>
                <w:tab w:val="left" w:pos="360"/>
              </w:tabs>
              <w:ind w:firstLine="0"/>
              <w:jc w:val="center"/>
            </w:pPr>
            <w:r>
              <w:t>Показатель оценки, детализирующий показатель оценки</w:t>
            </w:r>
          </w:p>
        </w:tc>
        <w:tc>
          <w:tcPr>
            <w:tcW w:w="2205" w:type="dxa"/>
            <w:shd w:val="clear" w:color="auto" w:fill="D9D9D9" w:themeFill="background1" w:themeFillShade="D9"/>
          </w:tcPr>
          <w:p w:rsidR="001E7B29" w:rsidRPr="00622A09" w:rsidRDefault="001E7B29" w:rsidP="00F54A5A">
            <w:pPr>
              <w:tabs>
                <w:tab w:val="left" w:pos="-360"/>
                <w:tab w:val="left" w:pos="360"/>
              </w:tabs>
              <w:ind w:firstLine="0"/>
              <w:jc w:val="center"/>
            </w:pPr>
            <w:r>
              <w:t>Значимость показателя, детализирующего показатель оценки, процентов</w:t>
            </w:r>
          </w:p>
        </w:tc>
        <w:tc>
          <w:tcPr>
            <w:tcW w:w="3637" w:type="dxa"/>
            <w:shd w:val="clear" w:color="auto" w:fill="D9D9D9" w:themeFill="background1" w:themeFillShade="D9"/>
          </w:tcPr>
          <w:p w:rsidR="001E7B29" w:rsidRPr="00622A09" w:rsidRDefault="001E7B29" w:rsidP="00F54A5A">
            <w:pPr>
              <w:tabs>
                <w:tab w:val="left" w:pos="-360"/>
                <w:tab w:val="left" w:pos="360"/>
              </w:tabs>
              <w:ind w:firstLine="0"/>
              <w:jc w:val="center"/>
            </w:pPr>
            <w:r>
              <w:t>Формула оценки или шкала оценки</w:t>
            </w:r>
          </w:p>
        </w:tc>
      </w:tr>
      <w:tr w:rsidR="001E7B29" w:rsidTr="00DE6FC3">
        <w:trPr>
          <w:jc w:val="center"/>
        </w:trPr>
        <w:tc>
          <w:tcPr>
            <w:tcW w:w="754" w:type="dxa"/>
          </w:tcPr>
          <w:p w:rsidR="001E7B29" w:rsidRPr="00622A09" w:rsidRDefault="001E7B29" w:rsidP="00F54A5A">
            <w:pPr>
              <w:tabs>
                <w:tab w:val="left" w:pos="-360"/>
                <w:tab w:val="left" w:pos="360"/>
              </w:tabs>
              <w:ind w:firstLine="0"/>
            </w:pPr>
            <w:r>
              <w:t>1.</w:t>
            </w:r>
          </w:p>
        </w:tc>
        <w:tc>
          <w:tcPr>
            <w:tcW w:w="1803" w:type="dxa"/>
          </w:tcPr>
          <w:p w:rsidR="001E7B29" w:rsidRPr="00622A09" w:rsidRDefault="001E7B29" w:rsidP="00F54A5A">
            <w:pPr>
              <w:tabs>
                <w:tab w:val="left" w:pos="-360"/>
                <w:tab w:val="left" w:pos="360"/>
              </w:tabs>
              <w:ind w:firstLine="0"/>
              <w:jc w:val="center"/>
            </w:pPr>
            <w:r>
              <w:t>Цена контракта, сумма цен единиц товара, работы, услуги</w:t>
            </w:r>
          </w:p>
        </w:tc>
        <w:tc>
          <w:tcPr>
            <w:tcW w:w="1604" w:type="dxa"/>
          </w:tcPr>
          <w:p w:rsidR="001E7B29" w:rsidRPr="00622A09" w:rsidRDefault="001E7B29" w:rsidP="00F54A5A">
            <w:pPr>
              <w:tabs>
                <w:tab w:val="left" w:pos="-360"/>
                <w:tab w:val="left" w:pos="360"/>
              </w:tabs>
              <w:ind w:firstLine="5"/>
              <w:jc w:val="center"/>
            </w:pPr>
            <w:r>
              <w:t>40</w:t>
            </w:r>
          </w:p>
        </w:tc>
        <w:tc>
          <w:tcPr>
            <w:tcW w:w="1604" w:type="dxa"/>
          </w:tcPr>
          <w:p w:rsidR="001E7B29" w:rsidRPr="00622A09" w:rsidRDefault="001E7B29" w:rsidP="00F54A5A">
            <w:pPr>
              <w:tabs>
                <w:tab w:val="left" w:pos="-360"/>
                <w:tab w:val="left" w:pos="360"/>
              </w:tabs>
              <w:ind w:firstLine="0"/>
              <w:jc w:val="center"/>
            </w:pPr>
            <w:r>
              <w:t>-</w:t>
            </w:r>
          </w:p>
        </w:tc>
        <w:tc>
          <w:tcPr>
            <w:tcW w:w="2005" w:type="dxa"/>
          </w:tcPr>
          <w:p w:rsidR="001E7B29" w:rsidRPr="00622A09" w:rsidRDefault="001E7B29" w:rsidP="00F54A5A">
            <w:pPr>
              <w:tabs>
                <w:tab w:val="left" w:pos="-360"/>
                <w:tab w:val="left" w:pos="360"/>
              </w:tabs>
              <w:ind w:firstLine="5"/>
              <w:jc w:val="center"/>
            </w:pPr>
            <w:r>
              <w:t>-</w:t>
            </w:r>
          </w:p>
        </w:tc>
        <w:tc>
          <w:tcPr>
            <w:tcW w:w="1804" w:type="dxa"/>
          </w:tcPr>
          <w:p w:rsidR="001E7B29" w:rsidRPr="00622A09" w:rsidRDefault="001E7B29" w:rsidP="00F54A5A">
            <w:pPr>
              <w:tabs>
                <w:tab w:val="left" w:pos="-360"/>
                <w:tab w:val="left" w:pos="360"/>
              </w:tabs>
              <w:ind w:firstLine="0"/>
              <w:jc w:val="center"/>
            </w:pPr>
            <w:r>
              <w:t>-</w:t>
            </w:r>
          </w:p>
        </w:tc>
        <w:tc>
          <w:tcPr>
            <w:tcW w:w="2205" w:type="dxa"/>
          </w:tcPr>
          <w:p w:rsidR="001E7B29" w:rsidRPr="00622A09" w:rsidRDefault="001E7B29" w:rsidP="00F54A5A">
            <w:pPr>
              <w:tabs>
                <w:tab w:val="left" w:pos="-360"/>
                <w:tab w:val="left" w:pos="360"/>
              </w:tabs>
              <w:ind w:firstLine="0"/>
              <w:jc w:val="center"/>
            </w:pPr>
            <w:r>
              <w:t>-</w:t>
            </w:r>
          </w:p>
        </w:tc>
        <w:tc>
          <w:tcPr>
            <w:tcW w:w="3637" w:type="dxa"/>
          </w:tcPr>
          <w:p w:rsidR="001E7B29" w:rsidRDefault="00AD34AF" w:rsidP="00F54A5A">
            <w:pPr>
              <w:tabs>
                <w:tab w:val="left" w:pos="-360"/>
                <w:tab w:val="left" w:pos="360"/>
              </w:tabs>
              <w:jc w:val="center"/>
            </w:pPr>
            <m:oMath>
              <m:sSub>
                <m:sSubPr>
                  <m:ctrlPr>
                    <w:rPr>
                      <w:rFonts w:ascii="Cambria Math" w:hAnsi="Cambria Math"/>
                      <w:i/>
                    </w:rPr>
                  </m:ctrlPr>
                </m:sSubPr>
                <m:e>
                  <m:r>
                    <w:rPr>
                      <w:rFonts w:ascii="Cambria Math" w:hAnsi="Cambria Math"/>
                    </w:rPr>
                    <m:t>БЦ</m:t>
                  </m:r>
                </m:e>
                <m:sub>
                  <m:r>
                    <w:rPr>
                      <w:rFonts w:ascii="Cambria Math" w:hAnsi="Cambria Math"/>
                      <w:lang w:val="en-US"/>
                    </w:rPr>
                    <m:t>i</m:t>
                  </m:r>
                </m:sub>
              </m:sSub>
              <m:r>
                <w:rPr>
                  <w:rFonts w:ascii="Cambria Math" w:hAnsi="Cambria Math"/>
                </w:rPr>
                <m:t>=100-</m:t>
              </m:r>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Ц</m:t>
                          </m:r>
                        </m:e>
                        <m:sub>
                          <m:r>
                            <w:rPr>
                              <w:rFonts w:ascii="Cambria Math" w:hAnsi="Cambria Math"/>
                              <w:lang w:val="en-US"/>
                            </w:rPr>
                            <m:t>i</m:t>
                          </m:r>
                        </m:sub>
                      </m:sSub>
                      <m:r>
                        <w:rPr>
                          <w:rFonts w:ascii="Cambria Math" w:hAnsi="Cambria Math"/>
                        </w:rPr>
                        <m:t>-</m:t>
                      </m:r>
                      <m:sSub>
                        <m:sSubPr>
                          <m:ctrlPr>
                            <w:rPr>
                              <w:rFonts w:ascii="Cambria Math" w:hAnsi="Cambria Math"/>
                              <w:i/>
                            </w:rPr>
                          </m:ctrlPr>
                        </m:sSubPr>
                        <m:e>
                          <m:r>
                            <w:rPr>
                              <w:rFonts w:ascii="Cambria Math" w:hAnsi="Cambria Math"/>
                            </w:rPr>
                            <m:t>Ц</m:t>
                          </m:r>
                        </m:e>
                        <m:sub>
                          <m:r>
                            <w:rPr>
                              <w:rFonts w:ascii="Cambria Math" w:hAnsi="Cambria Math"/>
                            </w:rPr>
                            <m:t>л</m:t>
                          </m:r>
                        </m:sub>
                      </m:sSub>
                    </m:num>
                    <m:den>
                      <m:sSub>
                        <m:sSubPr>
                          <m:ctrlPr>
                            <w:rPr>
                              <w:rFonts w:ascii="Cambria Math" w:hAnsi="Cambria Math"/>
                              <w:i/>
                            </w:rPr>
                          </m:ctrlPr>
                        </m:sSubPr>
                        <m:e>
                          <m:r>
                            <w:rPr>
                              <w:rFonts w:ascii="Cambria Math" w:hAnsi="Cambria Math"/>
                            </w:rPr>
                            <m:t>Ц</m:t>
                          </m:r>
                        </m:e>
                        <m:sub>
                          <m:r>
                            <w:rPr>
                              <w:rFonts w:ascii="Cambria Math" w:hAnsi="Cambria Math"/>
                            </w:rPr>
                            <m:t>л</m:t>
                          </m:r>
                        </m:sub>
                      </m:sSub>
                    </m:den>
                  </m:f>
                </m:e>
              </m:d>
              <m:r>
                <w:rPr>
                  <w:rFonts w:ascii="Cambria Math" w:hAnsi="Cambria Math"/>
                </w:rPr>
                <m:t>×100</m:t>
              </m:r>
            </m:oMath>
            <w:r w:rsidR="001E7B29">
              <w:t>,</w:t>
            </w:r>
          </w:p>
          <w:p w:rsidR="001E7B29" w:rsidRDefault="001E7B29" w:rsidP="00F54A5A">
            <w:pPr>
              <w:tabs>
                <w:tab w:val="left" w:pos="-360"/>
                <w:tab w:val="left" w:pos="360"/>
              </w:tabs>
            </w:pPr>
            <w:r>
              <w:t>где:</w:t>
            </w:r>
          </w:p>
          <w:p w:rsidR="001E7B29" w:rsidRPr="00A20C51" w:rsidRDefault="001E7B29" w:rsidP="00F54A5A">
            <w:pPr>
              <w:tabs>
                <w:tab w:val="left" w:pos="-360"/>
                <w:tab w:val="left" w:pos="360"/>
              </w:tabs>
              <w:rPr>
                <w:sz w:val="22"/>
              </w:rPr>
            </w:pPr>
            <w:r w:rsidRPr="00A20C51">
              <w:rPr>
                <w:sz w:val="22"/>
              </w:rPr>
              <w:t>Ц</w:t>
            </w:r>
            <w:proofErr w:type="gramStart"/>
            <w:r w:rsidRPr="00A20C51">
              <w:rPr>
                <w:sz w:val="22"/>
                <w:vertAlign w:val="subscript"/>
                <w:lang w:val="en-US"/>
              </w:rPr>
              <w:t>i</w:t>
            </w:r>
            <w:proofErr w:type="gramEnd"/>
            <w:r w:rsidRPr="00A20C51">
              <w:rPr>
                <w:sz w:val="22"/>
              </w:rPr>
              <w:t xml:space="preserve"> – предложение участника закупки о цене контракта, заявка (часть заявки) которого подлежит в соответствии с Федеральным законом от 05.04.2013 №44-ФЗ оценке по критерию оценки «цена контракта, сумма цен единиц товара, работы, услуги» (далее – ценовое предложение);</w:t>
            </w:r>
          </w:p>
          <w:p w:rsidR="001E7B29" w:rsidRDefault="001E7B29" w:rsidP="00F54A5A">
            <w:pPr>
              <w:tabs>
                <w:tab w:val="left" w:pos="-360"/>
                <w:tab w:val="left" w:pos="360"/>
              </w:tabs>
              <w:rPr>
                <w:sz w:val="22"/>
              </w:rPr>
            </w:pPr>
            <w:proofErr w:type="spellStart"/>
            <w:r w:rsidRPr="00A20C51">
              <w:rPr>
                <w:sz w:val="22"/>
              </w:rPr>
              <w:t>Ц</w:t>
            </w:r>
            <w:r w:rsidRPr="00A20C51">
              <w:rPr>
                <w:sz w:val="22"/>
                <w:vertAlign w:val="subscript"/>
              </w:rPr>
              <w:t>л</w:t>
            </w:r>
            <w:proofErr w:type="spellEnd"/>
            <w:r w:rsidRPr="00A20C51">
              <w:rPr>
                <w:sz w:val="22"/>
              </w:rPr>
              <w:t xml:space="preserve"> – наилучшее ценовое предложение из числа предложенных в соответствии с Федеральным законом от 05.04.2013 №44-ФЗ участниками закупки, заявки (части заявки) которых подлежат оценке по критерию оценки «цена контракта, сумма цен единиц товара, работы, услуги».</w:t>
            </w:r>
          </w:p>
          <w:p w:rsidR="001E7B29" w:rsidRDefault="001E7B29" w:rsidP="00F54A5A">
            <w:pPr>
              <w:ind w:firstLine="34"/>
              <w:rPr>
                <w:sz w:val="22"/>
                <w:szCs w:val="22"/>
              </w:rPr>
            </w:pPr>
            <w:r w:rsidRPr="008410F1">
              <w:rPr>
                <w:sz w:val="22"/>
                <w:szCs w:val="22"/>
              </w:rPr>
              <w:t xml:space="preserve">В соответствии с информационным письмом Минфина России от 14.02.2022 №24-01-09/10138 </w:t>
            </w:r>
            <w:r w:rsidRPr="004D7BA7">
              <w:rPr>
                <w:sz w:val="22"/>
                <w:szCs w:val="22"/>
              </w:rPr>
              <w:t xml:space="preserve">если оцениваемое ценовое предложение </w:t>
            </w:r>
            <w:r w:rsidRPr="004D7BA7">
              <w:rPr>
                <w:sz w:val="22"/>
                <w:szCs w:val="22"/>
              </w:rPr>
              <w:lastRenderedPageBreak/>
              <w:t>превышает лучшее ценовое предложение в два и более раза, то в отношении оцениваемого ценового предложения присваивается 0 баллов. Если таких ценовых предложений (превышающих лучшее ценовое предложение в два и более раза) несколько, то каждому из них присваивается 0 баллов.</w:t>
            </w:r>
          </w:p>
          <w:p w:rsidR="001E7B29" w:rsidRPr="0096620F" w:rsidRDefault="001E7B29" w:rsidP="00F54A5A">
            <w:pPr>
              <w:tabs>
                <w:tab w:val="left" w:pos="-360"/>
                <w:tab w:val="left" w:pos="360"/>
              </w:tabs>
            </w:pPr>
          </w:p>
        </w:tc>
      </w:tr>
      <w:tr w:rsidR="001E7B29" w:rsidTr="00DE6FC3">
        <w:trPr>
          <w:trHeight w:val="8941"/>
          <w:jc w:val="center"/>
        </w:trPr>
        <w:tc>
          <w:tcPr>
            <w:tcW w:w="754" w:type="dxa"/>
            <w:vMerge w:val="restart"/>
          </w:tcPr>
          <w:p w:rsidR="001E7B29" w:rsidRDefault="001E7B29" w:rsidP="00F54A5A">
            <w:pPr>
              <w:tabs>
                <w:tab w:val="left" w:pos="-360"/>
                <w:tab w:val="left" w:pos="360"/>
              </w:tabs>
              <w:ind w:firstLine="0"/>
              <w:jc w:val="center"/>
            </w:pPr>
            <w:r>
              <w:lastRenderedPageBreak/>
              <w:t>2.</w:t>
            </w:r>
          </w:p>
        </w:tc>
        <w:tc>
          <w:tcPr>
            <w:tcW w:w="1803" w:type="dxa"/>
            <w:vMerge w:val="restart"/>
          </w:tcPr>
          <w:p w:rsidR="001E7B29" w:rsidRDefault="001E7B29" w:rsidP="00F54A5A">
            <w:pPr>
              <w:tabs>
                <w:tab w:val="left" w:pos="-360"/>
                <w:tab w:val="left" w:pos="360"/>
              </w:tabs>
              <w:ind w:firstLine="12"/>
              <w:jc w:val="center"/>
            </w:pPr>
            <w:r>
              <w:t>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(договора), и деловой репутации, специалистов и иных работников определенного уровня квалификации</w:t>
            </w:r>
          </w:p>
        </w:tc>
        <w:tc>
          <w:tcPr>
            <w:tcW w:w="1604" w:type="dxa"/>
            <w:vMerge w:val="restart"/>
          </w:tcPr>
          <w:p w:rsidR="001E7B29" w:rsidRDefault="001E7B29" w:rsidP="00F54A5A">
            <w:pPr>
              <w:tabs>
                <w:tab w:val="left" w:pos="-360"/>
                <w:tab w:val="left" w:pos="360"/>
              </w:tabs>
              <w:ind w:firstLine="5"/>
              <w:jc w:val="center"/>
            </w:pPr>
            <w:r>
              <w:t>60</w:t>
            </w:r>
          </w:p>
        </w:tc>
        <w:tc>
          <w:tcPr>
            <w:tcW w:w="1604" w:type="dxa"/>
          </w:tcPr>
          <w:p w:rsidR="001E7B29" w:rsidRPr="00622A09" w:rsidRDefault="001E7B29" w:rsidP="00F54A5A">
            <w:pPr>
              <w:tabs>
                <w:tab w:val="left" w:pos="-360"/>
                <w:tab w:val="left" w:pos="360"/>
              </w:tabs>
              <w:ind w:firstLine="5"/>
              <w:jc w:val="center"/>
            </w:pPr>
            <w:r>
              <w:t>Наличие у участников закупки специалистов и иных работников определенного уровня квалификации</w:t>
            </w:r>
          </w:p>
          <w:p w:rsidR="001E7B29" w:rsidRDefault="001E7B29" w:rsidP="00F54A5A">
            <w:pPr>
              <w:tabs>
                <w:tab w:val="left" w:pos="-360"/>
                <w:tab w:val="left" w:pos="360"/>
              </w:tabs>
              <w:jc w:val="center"/>
            </w:pPr>
          </w:p>
        </w:tc>
        <w:tc>
          <w:tcPr>
            <w:tcW w:w="2005" w:type="dxa"/>
          </w:tcPr>
          <w:p w:rsidR="001E7B29" w:rsidRDefault="001E7B29" w:rsidP="00F54A5A">
            <w:pPr>
              <w:tabs>
                <w:tab w:val="left" w:pos="-360"/>
                <w:tab w:val="left" w:pos="360"/>
              </w:tabs>
              <w:ind w:firstLine="5"/>
              <w:jc w:val="center"/>
            </w:pPr>
            <w:r>
              <w:t>80</w:t>
            </w:r>
          </w:p>
          <w:p w:rsidR="001E7B29" w:rsidRDefault="001E7B29" w:rsidP="00F54A5A">
            <w:pPr>
              <w:tabs>
                <w:tab w:val="left" w:pos="-360"/>
                <w:tab w:val="left" w:pos="360"/>
              </w:tabs>
              <w:jc w:val="center"/>
            </w:pPr>
          </w:p>
        </w:tc>
        <w:tc>
          <w:tcPr>
            <w:tcW w:w="1804" w:type="dxa"/>
          </w:tcPr>
          <w:p w:rsidR="001E7B29" w:rsidRPr="00093823" w:rsidRDefault="001E7B29" w:rsidP="00F54A5A">
            <w:pPr>
              <w:tabs>
                <w:tab w:val="left" w:pos="-360"/>
                <w:tab w:val="left" w:pos="360"/>
              </w:tabs>
              <w:ind w:firstLine="0"/>
              <w:jc w:val="center"/>
            </w:pPr>
            <w:r w:rsidRPr="00093823">
              <w:t>Признак №1 (наличие у участников закупки специалистов для  целей проведения аудита бухгалтерской (финансовой) отчетности)</w:t>
            </w:r>
          </w:p>
        </w:tc>
        <w:tc>
          <w:tcPr>
            <w:tcW w:w="2205" w:type="dxa"/>
          </w:tcPr>
          <w:p w:rsidR="001E7B29" w:rsidRPr="00093823" w:rsidRDefault="001E7B29" w:rsidP="00F54A5A">
            <w:pPr>
              <w:tabs>
                <w:tab w:val="left" w:pos="-360"/>
                <w:tab w:val="left" w:pos="360"/>
              </w:tabs>
              <w:ind w:firstLine="0"/>
              <w:jc w:val="center"/>
            </w:pPr>
            <w:r>
              <w:t>100</w:t>
            </w:r>
          </w:p>
        </w:tc>
        <w:tc>
          <w:tcPr>
            <w:tcW w:w="3637" w:type="dxa"/>
          </w:tcPr>
          <w:p w:rsidR="001E7B29" w:rsidRPr="00093823" w:rsidRDefault="001E7B29" w:rsidP="004048D0">
            <w:pPr>
              <w:tabs>
                <w:tab w:val="left" w:pos="-360"/>
                <w:tab w:val="left" w:pos="360"/>
              </w:tabs>
              <w:ind w:firstLine="15"/>
              <w:rPr>
                <w:sz w:val="22"/>
                <w:szCs w:val="22"/>
              </w:rPr>
            </w:pPr>
            <w:r w:rsidRPr="00093823">
              <w:rPr>
                <w:rFonts w:asciiTheme="minorHAnsi" w:eastAsiaTheme="minorHAnsi" w:hAnsiTheme="minorHAnsi" w:cstheme="minorBidi"/>
                <w:sz w:val="22"/>
                <w:szCs w:val="22"/>
                <w:lang w:eastAsia="en-US"/>
              </w:rPr>
              <w:object w:dxaOrig="4104" w:dyaOrig="900">
                <v:rect id="_x0000_i1025" style="width:174pt;height:45pt" o:ole="" o:preferrelative="t" stroked="f">
                  <v:imagedata r:id="rId5" o:title=""/>
                </v:rect>
                <o:OLEObject Type="Embed" ProgID="StaticMetafile" ShapeID="_x0000_i1025" DrawAspect="Content" ObjectID="_1727516718" r:id="rId6"/>
              </w:object>
            </w:r>
          </w:p>
          <w:p w:rsidR="001E7B29" w:rsidRPr="00093823" w:rsidRDefault="001E7B29" w:rsidP="00F54A5A">
            <w:pPr>
              <w:tabs>
                <w:tab w:val="left" w:pos="-360"/>
                <w:tab w:val="left" w:pos="360"/>
              </w:tabs>
              <w:rPr>
                <w:sz w:val="22"/>
                <w:szCs w:val="22"/>
              </w:rPr>
            </w:pPr>
          </w:p>
          <w:p w:rsidR="001E7B29" w:rsidRPr="00093823" w:rsidRDefault="001E7B29" w:rsidP="00F54A5A">
            <w:pPr>
              <w:tabs>
                <w:tab w:val="left" w:pos="-360"/>
                <w:tab w:val="left" w:pos="360"/>
              </w:tabs>
              <w:rPr>
                <w:sz w:val="22"/>
                <w:szCs w:val="22"/>
              </w:rPr>
            </w:pPr>
            <w:r w:rsidRPr="00093823">
              <w:rPr>
                <w:sz w:val="22"/>
                <w:szCs w:val="22"/>
              </w:rPr>
              <w:t>где:</w:t>
            </w:r>
          </w:p>
          <w:p w:rsidR="001E7B29" w:rsidRPr="00093823" w:rsidRDefault="001E7B29" w:rsidP="00F54A5A">
            <w:pPr>
              <w:tabs>
                <w:tab w:val="left" w:pos="-360"/>
                <w:tab w:val="left" w:pos="360"/>
              </w:tabs>
              <w:rPr>
                <w:sz w:val="22"/>
                <w:szCs w:val="22"/>
              </w:rPr>
            </w:pPr>
            <w:r w:rsidRPr="00093823">
              <w:rPr>
                <w:sz w:val="22"/>
                <w:szCs w:val="22"/>
              </w:rPr>
              <w:t>Х</w:t>
            </w:r>
            <w:proofErr w:type="gramStart"/>
            <w:r w:rsidRPr="00093823">
              <w:rPr>
                <w:sz w:val="22"/>
                <w:szCs w:val="22"/>
                <w:vertAlign w:val="subscript"/>
                <w:lang w:val="en-US"/>
              </w:rPr>
              <w:t>i</w:t>
            </w:r>
            <w:proofErr w:type="gramEnd"/>
            <w:r w:rsidRPr="00093823">
              <w:rPr>
                <w:sz w:val="22"/>
                <w:szCs w:val="22"/>
              </w:rPr>
              <w:t xml:space="preserve"> – значение детализирующего показателя, содержащееся в предложении участника закупки, заявка (часть заявки) которого подлежит в соответствии с Федеральным законом от 05.04.2013 №44-ФЗ оценке по детализирующему показателю;</w:t>
            </w:r>
          </w:p>
          <w:p w:rsidR="001E7B29" w:rsidRPr="00093823" w:rsidRDefault="001E7B29" w:rsidP="00F54A5A">
            <w:pPr>
              <w:tabs>
                <w:tab w:val="left" w:pos="-360"/>
                <w:tab w:val="left" w:pos="360"/>
              </w:tabs>
              <w:rPr>
                <w:sz w:val="22"/>
                <w:szCs w:val="22"/>
              </w:rPr>
            </w:pPr>
            <w:r w:rsidRPr="00093823">
              <w:rPr>
                <w:rFonts w:asciiTheme="minorHAnsi" w:eastAsiaTheme="minorHAnsi" w:hAnsiTheme="minorHAnsi" w:cstheme="minorBidi"/>
                <w:sz w:val="22"/>
                <w:szCs w:val="22"/>
                <w:lang w:eastAsia="en-US"/>
              </w:rPr>
              <w:object w:dxaOrig="720" w:dyaOrig="504">
                <v:rect id="_x0000_i1026" style="width:36pt;height:24.75pt" o:ole="" o:preferrelative="t" stroked="f">
                  <v:imagedata r:id="rId7" o:title=""/>
                </v:rect>
                <o:OLEObject Type="Embed" ProgID="StaticMetafile" ShapeID="_x0000_i1026" DrawAspect="Content" ObjectID="_1727516719" r:id="rId8"/>
              </w:object>
            </w:r>
            <w:r w:rsidRPr="00093823">
              <w:rPr>
                <w:sz w:val="22"/>
                <w:szCs w:val="22"/>
              </w:rPr>
              <w:t xml:space="preserve"> – предельное минимальное значение детализирующего показателя, установленное заказчиком, </w:t>
            </w:r>
            <w:r w:rsidRPr="00093823">
              <w:rPr>
                <w:rFonts w:asciiTheme="minorHAnsi" w:eastAsiaTheme="minorHAnsi" w:hAnsiTheme="minorHAnsi" w:cstheme="minorBidi"/>
                <w:sz w:val="22"/>
                <w:szCs w:val="22"/>
                <w:lang w:eastAsia="en-US"/>
              </w:rPr>
              <w:object w:dxaOrig="720" w:dyaOrig="504">
                <v:rect id="_x0000_i1027" style="width:36pt;height:24.75pt" o:ole="" o:preferrelative="t" stroked="f">
                  <v:imagedata r:id="rId7" o:title=""/>
                </v:rect>
                <o:OLEObject Type="Embed" ProgID="StaticMetafile" ShapeID="_x0000_i1027" DrawAspect="Content" ObjectID="_1727516720" r:id="rId9"/>
              </w:object>
            </w:r>
            <w:r w:rsidRPr="00093823">
              <w:t xml:space="preserve"> = </w:t>
            </w:r>
            <m:oMath>
              <m:r>
                <w:rPr>
                  <w:rFonts w:ascii="Cambria Math"/>
                  <w:sz w:val="22"/>
                  <w:szCs w:val="22"/>
                </w:rPr>
                <m:t xml:space="preserve">2 </m:t>
              </m:r>
              <m:r>
                <w:rPr>
                  <w:rFonts w:ascii="Cambria Math"/>
                  <w:sz w:val="22"/>
                  <w:szCs w:val="22"/>
                </w:rPr>
                <m:t>специалиста</m:t>
              </m:r>
              <m:r>
                <w:rPr>
                  <w:rFonts w:ascii="Cambria Math"/>
                  <w:sz w:val="22"/>
                  <w:szCs w:val="22"/>
                </w:rPr>
                <m:t xml:space="preserve">, </m:t>
              </m:r>
            </m:oMath>
            <w:r w:rsidRPr="00093823">
              <w:rPr>
                <w:sz w:val="22"/>
                <w:szCs w:val="22"/>
              </w:rPr>
              <w:t xml:space="preserve">имеющих квалификационный аттестат аудитора, выданный СРО аудиторов в соответствии с </w:t>
            </w:r>
            <w:r w:rsidRPr="00093823">
              <w:rPr>
                <w:sz w:val="22"/>
                <w:szCs w:val="22"/>
                <w:lang w:eastAsia="en-US"/>
              </w:rPr>
              <w:t>Федеральным законом от 30.12.2008 № 307-ФЗ «Об аудиторской деятельности»</w:t>
            </w:r>
            <w:r w:rsidRPr="00093823">
              <w:rPr>
                <w:sz w:val="22"/>
                <w:szCs w:val="22"/>
              </w:rPr>
              <w:t>;</w:t>
            </w:r>
          </w:p>
          <w:p w:rsidR="001E7B29" w:rsidRPr="00093823" w:rsidRDefault="00AD34AF" w:rsidP="00F54A5A">
            <w:pPr>
              <w:tabs>
                <w:tab w:val="left" w:pos="-360"/>
                <w:tab w:val="left" w:pos="360"/>
              </w:tabs>
            </w:pPr>
            <m:oMath>
              <m:sSubSup>
                <m:sSubSupPr>
                  <m:ctrlPr>
                    <w:rPr>
                      <w:rFonts w:ascii="Cambria Math" w:hAnsi="Cambria Math"/>
                      <w:i/>
                      <w:sz w:val="22"/>
                      <w:szCs w:val="22"/>
                    </w:rPr>
                  </m:ctrlPr>
                </m:sSubSupPr>
                <m:e>
                  <m:r>
                    <w:rPr>
                      <w:rFonts w:ascii="Cambria Math"/>
                      <w:sz w:val="22"/>
                      <w:szCs w:val="22"/>
                    </w:rPr>
                    <m:t>Х</m:t>
                  </m:r>
                </m:e>
                <m:sub>
                  <m:r>
                    <w:rPr>
                      <w:rFonts w:ascii="Cambria Math" w:hAnsi="Cambria Math"/>
                      <w:sz w:val="22"/>
                      <w:szCs w:val="22"/>
                      <w:lang w:val="en-US"/>
                    </w:rPr>
                    <m:t>max</m:t>
                  </m:r>
                </m:sub>
                <m:sup>
                  <m:r>
                    <w:rPr>
                      <w:rFonts w:ascii="Cambria Math"/>
                      <w:sz w:val="22"/>
                      <w:szCs w:val="22"/>
                    </w:rPr>
                    <m:t>пред</m:t>
                  </m:r>
                </m:sup>
              </m:sSubSup>
            </m:oMath>
            <w:r w:rsidR="001E7B29" w:rsidRPr="00093823">
              <w:rPr>
                <w:sz w:val="22"/>
                <w:szCs w:val="22"/>
              </w:rPr>
              <w:t xml:space="preserve"> – предельное максимальное значение детализирующего показателя, установленное заказчиком, </w:t>
            </w:r>
            <m:oMath>
              <m:sSubSup>
                <m:sSubSupPr>
                  <m:ctrlPr>
                    <w:rPr>
                      <w:rFonts w:ascii="Cambria Math" w:hAnsi="Cambria Math"/>
                      <w:i/>
                      <w:sz w:val="22"/>
                      <w:szCs w:val="22"/>
                    </w:rPr>
                  </m:ctrlPr>
                </m:sSubSupPr>
                <m:e>
                  <m:r>
                    <w:rPr>
                      <w:rFonts w:ascii="Cambria Math"/>
                      <w:sz w:val="22"/>
                      <w:szCs w:val="22"/>
                    </w:rPr>
                    <m:t>Х</m:t>
                  </m:r>
                </m:e>
                <m:sub>
                  <m:r>
                    <w:rPr>
                      <w:rFonts w:ascii="Cambria Math" w:hAnsi="Cambria Math"/>
                      <w:sz w:val="22"/>
                      <w:szCs w:val="22"/>
                      <w:lang w:val="en-US"/>
                    </w:rPr>
                    <m:t>max</m:t>
                  </m:r>
                </m:sub>
                <m:sup>
                  <m:r>
                    <w:rPr>
                      <w:rFonts w:ascii="Cambria Math"/>
                      <w:sz w:val="22"/>
                      <w:szCs w:val="22"/>
                    </w:rPr>
                    <m:t>пред</m:t>
                  </m:r>
                </m:sup>
              </m:sSubSup>
              <m:r>
                <w:rPr>
                  <w:rFonts w:ascii="Cambria Math"/>
                  <w:sz w:val="22"/>
                  <w:szCs w:val="22"/>
                </w:rPr>
                <m:t xml:space="preserve">=5 </m:t>
              </m:r>
              <m:r>
                <w:rPr>
                  <w:rFonts w:ascii="Cambria Math"/>
                  <w:sz w:val="22"/>
                  <w:szCs w:val="22"/>
                </w:rPr>
                <m:t>специалистов</m:t>
              </m:r>
              <m:r>
                <w:rPr>
                  <w:rFonts w:ascii="Cambria Math"/>
                  <w:sz w:val="22"/>
                  <w:szCs w:val="22"/>
                </w:rPr>
                <m:t xml:space="preserve">, </m:t>
              </m:r>
            </m:oMath>
            <w:r w:rsidR="001E7B29" w:rsidRPr="00093823">
              <w:rPr>
                <w:sz w:val="22"/>
                <w:szCs w:val="22"/>
              </w:rPr>
              <w:t xml:space="preserve">имеющих квалификационный аттестат аудитора, выданный СРО аудиторов в соответствии с </w:t>
            </w:r>
            <w:r w:rsidR="001E7B29" w:rsidRPr="00093823">
              <w:rPr>
                <w:sz w:val="22"/>
                <w:szCs w:val="22"/>
                <w:lang w:eastAsia="en-US"/>
              </w:rPr>
              <w:t>Федеральным законом от 30.12.2008 № 307-ФЗ «Об аудиторской деятельности».</w:t>
            </w:r>
          </w:p>
        </w:tc>
      </w:tr>
      <w:tr w:rsidR="001E7B29" w:rsidTr="00DE6FC3">
        <w:trPr>
          <w:trHeight w:val="588"/>
          <w:jc w:val="center"/>
        </w:trPr>
        <w:tc>
          <w:tcPr>
            <w:tcW w:w="754" w:type="dxa"/>
            <w:vMerge/>
          </w:tcPr>
          <w:p w:rsidR="001E7B29" w:rsidDel="00987447" w:rsidRDefault="001E7B29" w:rsidP="00F54A5A">
            <w:pPr>
              <w:tabs>
                <w:tab w:val="left" w:pos="-360"/>
                <w:tab w:val="left" w:pos="360"/>
              </w:tabs>
              <w:jc w:val="center"/>
            </w:pPr>
          </w:p>
        </w:tc>
        <w:tc>
          <w:tcPr>
            <w:tcW w:w="1803" w:type="dxa"/>
            <w:vMerge/>
          </w:tcPr>
          <w:p w:rsidR="001E7B29" w:rsidRDefault="001E7B29" w:rsidP="00F54A5A">
            <w:pPr>
              <w:tabs>
                <w:tab w:val="left" w:pos="-360"/>
                <w:tab w:val="left" w:pos="360"/>
              </w:tabs>
              <w:jc w:val="center"/>
            </w:pPr>
          </w:p>
        </w:tc>
        <w:tc>
          <w:tcPr>
            <w:tcW w:w="1604" w:type="dxa"/>
            <w:vMerge/>
          </w:tcPr>
          <w:p w:rsidR="001E7B29" w:rsidDel="00987447" w:rsidRDefault="001E7B29" w:rsidP="00F54A5A">
            <w:pPr>
              <w:tabs>
                <w:tab w:val="left" w:pos="-360"/>
                <w:tab w:val="left" w:pos="360"/>
              </w:tabs>
              <w:jc w:val="center"/>
            </w:pPr>
          </w:p>
        </w:tc>
        <w:tc>
          <w:tcPr>
            <w:tcW w:w="1604" w:type="dxa"/>
          </w:tcPr>
          <w:p w:rsidR="001E7B29" w:rsidRPr="006D3935" w:rsidRDefault="001E7B29" w:rsidP="00F54A5A">
            <w:pPr>
              <w:tabs>
                <w:tab w:val="left" w:pos="-360"/>
                <w:tab w:val="left" w:pos="360"/>
              </w:tabs>
              <w:ind w:firstLine="0"/>
              <w:jc w:val="center"/>
              <w:rPr>
                <w:highlight w:val="yellow"/>
              </w:rPr>
            </w:pPr>
            <w:r w:rsidRPr="006D3935">
              <w:rPr>
                <w:highlight w:val="yellow"/>
              </w:rPr>
              <w:t>Наличие у участников закупки опыта работы, связанного с предметом контракта</w:t>
            </w:r>
          </w:p>
        </w:tc>
        <w:tc>
          <w:tcPr>
            <w:tcW w:w="2005" w:type="dxa"/>
          </w:tcPr>
          <w:p w:rsidR="001E7B29" w:rsidRPr="006D3935" w:rsidDel="00987447" w:rsidRDefault="001E7B29" w:rsidP="00F54A5A">
            <w:pPr>
              <w:tabs>
                <w:tab w:val="left" w:pos="-360"/>
                <w:tab w:val="left" w:pos="360"/>
              </w:tabs>
              <w:ind w:firstLine="5"/>
              <w:jc w:val="center"/>
              <w:rPr>
                <w:highlight w:val="yellow"/>
              </w:rPr>
            </w:pPr>
            <w:r w:rsidRPr="006D3935">
              <w:rPr>
                <w:highlight w:val="yellow"/>
              </w:rPr>
              <w:t>20</w:t>
            </w:r>
          </w:p>
        </w:tc>
        <w:tc>
          <w:tcPr>
            <w:tcW w:w="1804" w:type="dxa"/>
          </w:tcPr>
          <w:p w:rsidR="001E7B29" w:rsidRPr="006D3935" w:rsidRDefault="001E7B29" w:rsidP="00F54A5A">
            <w:pPr>
              <w:tabs>
                <w:tab w:val="left" w:pos="-360"/>
                <w:tab w:val="left" w:pos="360"/>
              </w:tabs>
              <w:ind w:firstLine="0"/>
              <w:jc w:val="center"/>
              <w:rPr>
                <w:highlight w:val="yellow"/>
              </w:rPr>
            </w:pPr>
            <w:r w:rsidRPr="006D3935">
              <w:rPr>
                <w:highlight w:val="yellow"/>
              </w:rPr>
              <w:t>Признак №1</w:t>
            </w:r>
          </w:p>
          <w:p w:rsidR="001E7B29" w:rsidRPr="006D3935" w:rsidRDefault="001E7B29" w:rsidP="00F54A5A">
            <w:pPr>
              <w:tabs>
                <w:tab w:val="left" w:pos="-360"/>
                <w:tab w:val="left" w:pos="360"/>
              </w:tabs>
              <w:ind w:firstLine="0"/>
              <w:jc w:val="center"/>
              <w:rPr>
                <w:highlight w:val="yellow"/>
              </w:rPr>
            </w:pPr>
            <w:r w:rsidRPr="006D3935">
              <w:rPr>
                <w:highlight w:val="yellow"/>
              </w:rPr>
              <w:t>Наибольшая цена одного из исполненных участником закупки договоров</w:t>
            </w:r>
          </w:p>
        </w:tc>
        <w:tc>
          <w:tcPr>
            <w:tcW w:w="2205" w:type="dxa"/>
          </w:tcPr>
          <w:p w:rsidR="001E7B29" w:rsidRPr="006D3935" w:rsidRDefault="001E7B29" w:rsidP="00F54A5A">
            <w:pPr>
              <w:tabs>
                <w:tab w:val="left" w:pos="-360"/>
                <w:tab w:val="left" w:pos="360"/>
              </w:tabs>
              <w:ind w:firstLine="0"/>
              <w:jc w:val="center"/>
              <w:rPr>
                <w:highlight w:val="yellow"/>
              </w:rPr>
            </w:pPr>
            <w:r w:rsidRPr="006D3935">
              <w:rPr>
                <w:highlight w:val="yellow"/>
              </w:rPr>
              <w:t>100</w:t>
            </w:r>
          </w:p>
        </w:tc>
        <w:tc>
          <w:tcPr>
            <w:tcW w:w="3637" w:type="dxa"/>
          </w:tcPr>
          <w:p w:rsidR="001E7B29" w:rsidRPr="006D3935" w:rsidRDefault="001E7B29" w:rsidP="00F54A5A">
            <w:pPr>
              <w:rPr>
                <w:highlight w:val="yellow"/>
              </w:rPr>
            </w:pPr>
            <w:r w:rsidRPr="006D3935">
              <w:rPr>
                <w:highlight w:val="yellow"/>
              </w:rPr>
              <w:t>Значение количества баллов по критерию оценки определяется по формуле:</w:t>
            </w:r>
          </w:p>
          <w:p w:rsidR="001E7B29" w:rsidRPr="006D3935" w:rsidRDefault="00AD34AF" w:rsidP="00F54A5A">
            <w:pPr>
              <w:rPr>
                <w:highlight w:val="yellow"/>
              </w:rPr>
            </w:pPr>
            <m:oMathPara>
              <m:oMath>
                <m:sSub>
                  <m:sSubPr>
                    <m:ctrlPr>
                      <w:rPr>
                        <w:rFonts w:ascii="Cambria Math" w:hAnsi="Cambria Math"/>
                        <w:i/>
                        <w:highlight w:val="yellow"/>
                      </w:rPr>
                    </m:ctrlPr>
                  </m:sSubPr>
                  <m:e>
                    <m:r>
                      <w:rPr>
                        <w:rFonts w:ascii="Cambria Math" w:hAnsi="Cambria Math"/>
                        <w:highlight w:val="yellow"/>
                      </w:rPr>
                      <m:t>БХ</m:t>
                    </m:r>
                  </m:e>
                  <m:sub>
                    <m:r>
                      <w:rPr>
                        <w:rFonts w:ascii="Cambria Math" w:hAnsi="Cambria Math"/>
                        <w:highlight w:val="yellow"/>
                        <w:lang w:val="en-US"/>
                      </w:rPr>
                      <m:t>i</m:t>
                    </m:r>
                  </m:sub>
                </m:sSub>
                <m:r>
                  <w:rPr>
                    <w:rFonts w:ascii="Cambria Math" w:hAnsi="Cambria Math"/>
                    <w:highlight w:val="yellow"/>
                  </w:rPr>
                  <m:t>=</m:t>
                </m:r>
                <m:d>
                  <m:dPr>
                    <m:ctrlPr>
                      <w:rPr>
                        <w:rFonts w:ascii="Cambria Math" w:hAnsi="Cambria Math"/>
                        <w:i/>
                        <w:highlight w:val="yellow"/>
                      </w:rPr>
                    </m:ctrlPr>
                  </m:dPr>
                  <m:e>
                    <m:sSub>
                      <m:sSubPr>
                        <m:ctrlPr>
                          <w:rPr>
                            <w:rFonts w:ascii="Cambria Math" w:hAnsi="Cambria Math"/>
                            <w:i/>
                            <w:highlight w:val="yellow"/>
                          </w:rPr>
                        </m:ctrlPr>
                      </m:sSubPr>
                      <m:e>
                        <m:r>
                          <w:rPr>
                            <w:rFonts w:ascii="Cambria Math" w:hAnsi="Cambria Math"/>
                            <w:highlight w:val="yellow"/>
                          </w:rPr>
                          <m:t>Х</m:t>
                        </m:r>
                      </m:e>
                      <m:sub>
                        <m:r>
                          <w:rPr>
                            <w:rFonts w:ascii="Cambria Math" w:hAnsi="Cambria Math"/>
                            <w:highlight w:val="yellow"/>
                            <w:lang w:val="en-US"/>
                          </w:rPr>
                          <m:t>i</m:t>
                        </m:r>
                      </m:sub>
                    </m:sSub>
                    <m:r>
                      <w:rPr>
                        <w:rFonts w:ascii="Cambria Math" w:hAnsi="Cambria Math"/>
                        <w:highlight w:val="yellow"/>
                      </w:rPr>
                      <m:t>-</m:t>
                    </m:r>
                    <m:sSub>
                      <m:sSubPr>
                        <m:ctrlPr>
                          <w:rPr>
                            <w:rFonts w:ascii="Cambria Math" w:hAnsi="Cambria Math"/>
                            <w:i/>
                            <w:highlight w:val="yellow"/>
                          </w:rPr>
                        </m:ctrlPr>
                      </m:sSubPr>
                      <m:e>
                        <m:r>
                          <w:rPr>
                            <w:rFonts w:ascii="Cambria Math" w:hAnsi="Cambria Math"/>
                            <w:highlight w:val="yellow"/>
                          </w:rPr>
                          <m:t>Х</m:t>
                        </m:r>
                      </m:e>
                      <m:sub>
                        <m:r>
                          <w:rPr>
                            <w:rFonts w:ascii="Cambria Math" w:hAnsi="Cambria Math"/>
                            <w:highlight w:val="yellow"/>
                            <w:lang w:val="en-US"/>
                          </w:rPr>
                          <m:t>min</m:t>
                        </m:r>
                      </m:sub>
                    </m:sSub>
                  </m:e>
                </m:d>
                <m:r>
                  <w:rPr>
                    <w:rFonts w:ascii="Cambria Math" w:hAnsi="Cambria Math"/>
                    <w:highlight w:val="yellow"/>
                  </w:rPr>
                  <m:t>×</m:t>
                </m:r>
                <m:f>
                  <m:fPr>
                    <m:ctrlPr>
                      <w:rPr>
                        <w:rFonts w:ascii="Cambria Math" w:hAnsi="Cambria Math"/>
                        <w:i/>
                        <w:highlight w:val="yellow"/>
                      </w:rPr>
                    </m:ctrlPr>
                  </m:fPr>
                  <m:num>
                    <m:r>
                      <w:rPr>
                        <w:rFonts w:ascii="Cambria Math" w:hAnsi="Cambria Math"/>
                        <w:highlight w:val="yellow"/>
                      </w:rPr>
                      <m:t>100</m:t>
                    </m:r>
                  </m:num>
                  <m:den>
                    <m:sSubSup>
                      <m:sSubSupPr>
                        <m:ctrlPr>
                          <w:rPr>
                            <w:rFonts w:ascii="Cambria Math" w:hAnsi="Cambria Math"/>
                            <w:i/>
                            <w:highlight w:val="yellow"/>
                          </w:rPr>
                        </m:ctrlPr>
                      </m:sSubSupPr>
                      <m:e>
                        <m:r>
                          <w:rPr>
                            <w:rFonts w:ascii="Cambria Math" w:hAnsi="Cambria Math"/>
                            <w:highlight w:val="yellow"/>
                          </w:rPr>
                          <m:t>Х</m:t>
                        </m:r>
                      </m:e>
                      <m:sub>
                        <m:r>
                          <w:rPr>
                            <w:rFonts w:ascii="Cambria Math" w:hAnsi="Cambria Math"/>
                            <w:highlight w:val="yellow"/>
                            <w:lang w:val="en-US"/>
                          </w:rPr>
                          <m:t>max</m:t>
                        </m:r>
                      </m:sub>
                      <m:sup>
                        <m:r>
                          <w:rPr>
                            <w:rFonts w:ascii="Cambria Math" w:hAnsi="Cambria Math"/>
                            <w:highlight w:val="yellow"/>
                          </w:rPr>
                          <m:t>пред</m:t>
                        </m:r>
                      </m:sup>
                    </m:sSubSup>
                    <m:r>
                      <w:rPr>
                        <w:rFonts w:ascii="Cambria Math" w:hAnsi="Cambria Math"/>
                        <w:highlight w:val="yellow"/>
                      </w:rPr>
                      <m:t>-</m:t>
                    </m:r>
                    <m:sSub>
                      <m:sSubPr>
                        <m:ctrlPr>
                          <w:rPr>
                            <w:rFonts w:ascii="Cambria Math" w:hAnsi="Cambria Math"/>
                            <w:i/>
                            <w:highlight w:val="yellow"/>
                          </w:rPr>
                        </m:ctrlPr>
                      </m:sSubPr>
                      <m:e>
                        <m:r>
                          <w:rPr>
                            <w:rFonts w:ascii="Cambria Math" w:hAnsi="Cambria Math"/>
                            <w:highlight w:val="yellow"/>
                          </w:rPr>
                          <m:t>Х</m:t>
                        </m:r>
                      </m:e>
                      <m:sub>
                        <m:r>
                          <w:rPr>
                            <w:rFonts w:ascii="Cambria Math" w:hAnsi="Cambria Math"/>
                            <w:highlight w:val="yellow"/>
                            <w:lang w:val="en-US"/>
                          </w:rPr>
                          <m:t>min</m:t>
                        </m:r>
                      </m:sub>
                    </m:sSub>
                  </m:den>
                </m:f>
              </m:oMath>
            </m:oMathPara>
          </w:p>
          <w:p w:rsidR="001E7B29" w:rsidRPr="006D3935" w:rsidRDefault="001E7B29" w:rsidP="00F54A5A">
            <w:pPr>
              <w:spacing w:after="160" w:line="259" w:lineRule="auto"/>
              <w:rPr>
                <w:highlight w:val="yellow"/>
              </w:rPr>
            </w:pPr>
            <w:r w:rsidRPr="006D3935">
              <w:rPr>
                <w:highlight w:val="yellow"/>
              </w:rPr>
              <w:t>где:</w:t>
            </w:r>
          </w:p>
          <w:p w:rsidR="001E7B29" w:rsidRPr="006D3935" w:rsidRDefault="001E7B29" w:rsidP="00F54A5A">
            <w:pPr>
              <w:spacing w:after="160" w:line="259" w:lineRule="auto"/>
              <w:rPr>
                <w:highlight w:val="yellow"/>
              </w:rPr>
            </w:pPr>
            <w:proofErr w:type="spellStart"/>
            <w:r w:rsidRPr="006D3935">
              <w:rPr>
                <w:highlight w:val="yellow"/>
              </w:rPr>
              <w:t>Х</w:t>
            </w:r>
            <w:proofErr w:type="gramStart"/>
            <w:r w:rsidRPr="006D3935">
              <w:rPr>
                <w:highlight w:val="yellow"/>
              </w:rPr>
              <w:t>i</w:t>
            </w:r>
            <w:proofErr w:type="spellEnd"/>
            <w:proofErr w:type="gramEnd"/>
            <w:r w:rsidRPr="006D3935">
              <w:rPr>
                <w:highlight w:val="yellow"/>
              </w:rPr>
              <w:t xml:space="preserve"> – значение показателя, содержащееся в предложении участника закупки, заявка которого подлежит в соответствии с Федеральным законом от 05.04.2013 </w:t>
            </w:r>
            <w:r w:rsidRPr="006D3935">
              <w:rPr>
                <w:rFonts w:ascii="Segoe UI Symbol" w:eastAsia="Segoe UI Symbol" w:hAnsi="Segoe UI Symbol" w:cs="Segoe UI Symbol"/>
                <w:highlight w:val="yellow"/>
              </w:rPr>
              <w:t>№</w:t>
            </w:r>
            <w:r w:rsidRPr="006D3935">
              <w:rPr>
                <w:highlight w:val="yellow"/>
              </w:rPr>
              <w:t>44-ФЗ оценке по показателю;</w:t>
            </w:r>
          </w:p>
          <w:p w:rsidR="001E7B29" w:rsidRPr="006D3935" w:rsidRDefault="001E7B29" w:rsidP="00F54A5A">
            <w:pPr>
              <w:spacing w:after="160" w:line="259" w:lineRule="auto"/>
              <w:rPr>
                <w:highlight w:val="yellow"/>
              </w:rPr>
            </w:pPr>
            <w:proofErr w:type="spellStart"/>
            <w:proofErr w:type="gramStart"/>
            <w:r w:rsidRPr="006D3935">
              <w:rPr>
                <w:highlight w:val="yellow"/>
              </w:rPr>
              <w:t>Х</w:t>
            </w:r>
            <w:proofErr w:type="gramEnd"/>
            <w:r w:rsidRPr="006D3935">
              <w:rPr>
                <w:highlight w:val="yellow"/>
              </w:rPr>
              <w:t>min</w:t>
            </w:r>
            <w:proofErr w:type="spellEnd"/>
            <w:r w:rsidRPr="006D3935">
              <w:rPr>
                <w:highlight w:val="yellow"/>
              </w:rPr>
              <w:t xml:space="preserve"> – минимальное значение показателя, содержащееся в заявках, подлежащих в соответствии с Федеральным законом от 05.04.2013 </w:t>
            </w:r>
            <w:r w:rsidRPr="006D3935">
              <w:rPr>
                <w:rFonts w:ascii="Segoe UI Symbol" w:eastAsia="Segoe UI Symbol" w:hAnsi="Segoe UI Symbol" w:cs="Segoe UI Symbol"/>
                <w:highlight w:val="yellow"/>
              </w:rPr>
              <w:t>№</w:t>
            </w:r>
            <w:r w:rsidRPr="006D3935">
              <w:rPr>
                <w:highlight w:val="yellow"/>
              </w:rPr>
              <w:t>44-ФЗ оценке по показателю;</w:t>
            </w:r>
          </w:p>
          <w:p w:rsidR="001E7B29" w:rsidRPr="006D3935" w:rsidRDefault="00AD34AF" w:rsidP="00F54A5A">
            <w:pPr>
              <w:spacing w:after="160" w:line="259" w:lineRule="auto"/>
              <w:rPr>
                <w:highlight w:val="yellow"/>
              </w:rPr>
            </w:pPr>
            <m:oMath>
              <m:sSubSup>
                <m:sSubSupPr>
                  <m:ctrlPr>
                    <w:rPr>
                      <w:rFonts w:ascii="Cambria Math" w:hAnsi="Cambria Math"/>
                      <w:i/>
                      <w:sz w:val="22"/>
                      <w:highlight w:val="yellow"/>
                    </w:rPr>
                  </m:ctrlPr>
                </m:sSubSupPr>
                <m:e>
                  <m:r>
                    <w:rPr>
                      <w:rFonts w:ascii="Cambria Math" w:hAnsi="Cambria Math"/>
                      <w:sz w:val="22"/>
                      <w:highlight w:val="yellow"/>
                    </w:rPr>
                    <m:t>Х</m:t>
                  </m:r>
                </m:e>
                <m:sub>
                  <m:r>
                    <w:rPr>
                      <w:rFonts w:ascii="Cambria Math" w:hAnsi="Cambria Math"/>
                      <w:sz w:val="22"/>
                      <w:highlight w:val="yellow"/>
                      <w:lang w:val="en-US"/>
                    </w:rPr>
                    <m:t>max</m:t>
                  </m:r>
                </m:sub>
                <m:sup>
                  <m:r>
                    <w:rPr>
                      <w:rFonts w:ascii="Cambria Math" w:hAnsi="Cambria Math"/>
                      <w:sz w:val="22"/>
                      <w:highlight w:val="yellow"/>
                    </w:rPr>
                    <m:t>пред</m:t>
                  </m:r>
                </m:sup>
              </m:sSubSup>
            </m:oMath>
            <w:r w:rsidR="001E7B29" w:rsidRPr="006D3935">
              <w:rPr>
                <w:highlight w:val="yellow"/>
              </w:rPr>
              <w:t>– предельное максимальное значение показателя, установленное заказчиком.</w:t>
            </w:r>
          </w:p>
          <w:p w:rsidR="001E7B29" w:rsidRPr="006D3935" w:rsidRDefault="00AD34AF" w:rsidP="00F54A5A">
            <w:pPr>
              <w:tabs>
                <w:tab w:val="left" w:pos="-360"/>
                <w:tab w:val="left" w:pos="360"/>
              </w:tabs>
              <w:jc w:val="center"/>
              <w:rPr>
                <w:highlight w:val="yellow"/>
              </w:rPr>
            </w:pPr>
            <m:oMath>
              <m:sSubSup>
                <m:sSubSupPr>
                  <m:ctrlPr>
                    <w:rPr>
                      <w:rFonts w:ascii="Cambria Math" w:hAnsi="Cambria Math"/>
                      <w:i/>
                      <w:sz w:val="22"/>
                      <w:highlight w:val="yellow"/>
                    </w:rPr>
                  </m:ctrlPr>
                </m:sSubSupPr>
                <m:e>
                  <m:r>
                    <w:rPr>
                      <w:rFonts w:ascii="Cambria Math" w:hAnsi="Cambria Math"/>
                      <w:sz w:val="22"/>
                      <w:highlight w:val="yellow"/>
                    </w:rPr>
                    <m:t>Х</m:t>
                  </m:r>
                </m:e>
                <m:sub>
                  <m:r>
                    <w:rPr>
                      <w:rFonts w:ascii="Cambria Math" w:hAnsi="Cambria Math"/>
                      <w:sz w:val="22"/>
                      <w:highlight w:val="yellow"/>
                      <w:lang w:val="en-US"/>
                    </w:rPr>
                    <m:t>max</m:t>
                  </m:r>
                </m:sub>
                <m:sup>
                  <m:r>
                    <w:rPr>
                      <w:rFonts w:ascii="Cambria Math" w:hAnsi="Cambria Math"/>
                      <w:sz w:val="22"/>
                      <w:highlight w:val="yellow"/>
                    </w:rPr>
                    <m:t>пред</m:t>
                  </m:r>
                </m:sup>
              </m:sSubSup>
            </m:oMath>
            <w:r w:rsidR="001E7B29" w:rsidRPr="006D3935">
              <w:rPr>
                <w:highlight w:val="yellow"/>
              </w:rPr>
              <w:t xml:space="preserve"> – </w:t>
            </w:r>
            <w:r w:rsidR="001E7B29" w:rsidRPr="006D3935">
              <w:rPr>
                <w:b/>
                <w:highlight w:val="yellow"/>
              </w:rPr>
              <w:t xml:space="preserve">193 200,00 рублей </w:t>
            </w:r>
          </w:p>
        </w:tc>
      </w:tr>
    </w:tbl>
    <w:p w:rsidR="00DE6FC3" w:rsidRPr="006D3935" w:rsidRDefault="00DE6FC3" w:rsidP="00DE6FC3">
      <w:pPr>
        <w:rPr>
          <w:highlight w:val="yellow"/>
        </w:rPr>
      </w:pPr>
      <m:oMathPara>
        <m:oMath>
          <m:sSub>
            <m:sSubPr>
              <m:ctrlPr>
                <w:rPr>
                  <w:rFonts w:ascii="Cambria Math" w:hAnsi="Cambria Math"/>
                  <w:i/>
                  <w:highlight w:val="yellow"/>
                </w:rPr>
              </m:ctrlPr>
            </m:sSubPr>
            <m:e>
              <m:r>
                <w:rPr>
                  <w:rFonts w:ascii="Cambria Math" w:hAnsi="Cambria Math"/>
                  <w:highlight w:val="yellow"/>
                </w:rPr>
                <m:t>БХ</m:t>
              </m:r>
            </m:e>
            <m:sub>
              <m:r>
                <w:rPr>
                  <w:rFonts w:ascii="Cambria Math" w:hAnsi="Cambria Math"/>
                  <w:highlight w:val="yellow"/>
                  <w:lang w:val="en-US"/>
                </w:rPr>
                <m:t>i</m:t>
              </m:r>
            </m:sub>
          </m:sSub>
          <m:r>
            <w:rPr>
              <w:rFonts w:ascii="Cambria Math" w:hAnsi="Cambria Math"/>
              <w:highlight w:val="yellow"/>
            </w:rPr>
            <m:t>=</m:t>
          </m:r>
          <m:d>
            <m:dPr>
              <m:ctrlPr>
                <w:rPr>
                  <w:rFonts w:ascii="Cambria Math" w:hAnsi="Cambria Math"/>
                  <w:i/>
                  <w:highlight w:val="yellow"/>
                </w:rPr>
              </m:ctrlPr>
            </m:dPr>
            <m:e>
              <m:sSub>
                <m:sSubPr>
                  <m:ctrlPr>
                    <w:rPr>
                      <w:rFonts w:ascii="Cambria Math" w:hAnsi="Cambria Math"/>
                      <w:i/>
                      <w:highlight w:val="yellow"/>
                    </w:rPr>
                  </m:ctrlPr>
                </m:sSubPr>
                <m:e>
                  <m:r>
                    <w:rPr>
                      <w:rFonts w:ascii="Cambria Math" w:hAnsi="Cambria Math"/>
                      <w:highlight w:val="yellow"/>
                    </w:rPr>
                    <m:t>Х</m:t>
                  </m:r>
                </m:e>
                <m:sub>
                  <m:r>
                    <w:rPr>
                      <w:rFonts w:ascii="Cambria Math" w:hAnsi="Cambria Math"/>
                      <w:highlight w:val="yellow"/>
                      <w:lang w:val="en-US"/>
                    </w:rPr>
                    <m:t>i</m:t>
                  </m:r>
                </m:sub>
              </m:sSub>
              <m:r>
                <w:rPr>
                  <w:rFonts w:ascii="Cambria Math" w:hAnsi="Cambria Math"/>
                  <w:highlight w:val="yellow"/>
                </w:rPr>
                <m:t>-</m:t>
              </m:r>
              <m:sSub>
                <m:sSubPr>
                  <m:ctrlPr>
                    <w:rPr>
                      <w:rFonts w:ascii="Cambria Math" w:hAnsi="Cambria Math"/>
                      <w:i/>
                      <w:highlight w:val="yellow"/>
                    </w:rPr>
                  </m:ctrlPr>
                </m:sSubPr>
                <m:e>
                  <m:r>
                    <w:rPr>
                      <w:rFonts w:ascii="Cambria Math" w:hAnsi="Cambria Math"/>
                      <w:highlight w:val="yellow"/>
                    </w:rPr>
                    <m:t>Х</m:t>
                  </m:r>
                </m:e>
                <m:sub>
                  <m:r>
                    <w:rPr>
                      <w:rFonts w:ascii="Cambria Math" w:hAnsi="Cambria Math"/>
                      <w:highlight w:val="yellow"/>
                      <w:lang w:val="en-US"/>
                    </w:rPr>
                    <m:t>min</m:t>
                  </m:r>
                </m:sub>
              </m:sSub>
            </m:e>
          </m:d>
          <m:r>
            <w:rPr>
              <w:rFonts w:ascii="Cambria Math" w:hAnsi="Cambria Math"/>
              <w:highlight w:val="yellow"/>
            </w:rPr>
            <m:t>×</m:t>
          </m:r>
          <m:f>
            <m:fPr>
              <m:ctrlPr>
                <w:rPr>
                  <w:rFonts w:ascii="Cambria Math" w:hAnsi="Cambria Math"/>
                  <w:i/>
                  <w:highlight w:val="yellow"/>
                </w:rPr>
              </m:ctrlPr>
            </m:fPr>
            <m:num>
              <m:r>
                <w:rPr>
                  <w:rFonts w:ascii="Cambria Math" w:hAnsi="Cambria Math"/>
                  <w:highlight w:val="yellow"/>
                </w:rPr>
                <m:t>100</m:t>
              </m:r>
            </m:num>
            <m:den>
              <m:sSubSup>
                <m:sSubSupPr>
                  <m:ctrlPr>
                    <w:rPr>
                      <w:rFonts w:ascii="Cambria Math" w:hAnsi="Cambria Math"/>
                      <w:i/>
                      <w:highlight w:val="yellow"/>
                    </w:rPr>
                  </m:ctrlPr>
                </m:sSubSupPr>
                <m:e>
                  <m:r>
                    <w:rPr>
                      <w:rFonts w:ascii="Cambria Math" w:hAnsi="Cambria Math"/>
                      <w:highlight w:val="yellow"/>
                    </w:rPr>
                    <m:t>Х</m:t>
                  </m:r>
                </m:e>
                <m:sub>
                  <m:r>
                    <w:rPr>
                      <w:rFonts w:ascii="Cambria Math" w:hAnsi="Cambria Math"/>
                      <w:highlight w:val="yellow"/>
                      <w:lang w:val="en-US"/>
                    </w:rPr>
                    <m:t>max</m:t>
                  </m:r>
                </m:sub>
                <m:sup>
                  <m:r>
                    <w:rPr>
                      <w:rFonts w:ascii="Cambria Math" w:hAnsi="Cambria Math"/>
                      <w:highlight w:val="yellow"/>
                    </w:rPr>
                    <m:t>пред</m:t>
                  </m:r>
                </m:sup>
              </m:sSubSup>
              <m:r>
                <w:rPr>
                  <w:rFonts w:ascii="Cambria Math" w:hAnsi="Cambria Math"/>
                  <w:highlight w:val="yellow"/>
                </w:rPr>
                <m:t>-</m:t>
              </m:r>
              <m:sSub>
                <m:sSubPr>
                  <m:ctrlPr>
                    <w:rPr>
                      <w:rFonts w:ascii="Cambria Math" w:hAnsi="Cambria Math"/>
                      <w:i/>
                      <w:highlight w:val="yellow"/>
                    </w:rPr>
                  </m:ctrlPr>
                </m:sSubPr>
                <m:e>
                  <m:r>
                    <w:rPr>
                      <w:rFonts w:ascii="Cambria Math" w:hAnsi="Cambria Math"/>
                      <w:highlight w:val="yellow"/>
                    </w:rPr>
                    <m:t>Х</m:t>
                  </m:r>
                </m:e>
                <m:sub>
                  <m:r>
                    <w:rPr>
                      <w:rFonts w:ascii="Cambria Math" w:hAnsi="Cambria Math"/>
                      <w:highlight w:val="yellow"/>
                      <w:lang w:val="en-US"/>
                    </w:rPr>
                    <m:t>min</m:t>
                  </m:r>
                </m:sub>
              </m:sSub>
            </m:den>
          </m:f>
        </m:oMath>
      </m:oMathPara>
    </w:p>
    <w:p w:rsidR="001E7B29" w:rsidRDefault="001E7B29" w:rsidP="001E7B29"/>
    <w:p w:rsidR="001E7B29" w:rsidRDefault="00DE6FC3" w:rsidP="001E7B29">
      <w:r>
        <w:t>Участник № 160 = (1200000 -115000)/(193200-115000)*100%=13,88</w:t>
      </w:r>
    </w:p>
    <w:p w:rsidR="006710E4" w:rsidRDefault="006710E4" w:rsidP="001E7B29"/>
    <w:p w:rsidR="00DE6FC3" w:rsidRDefault="00DE6FC3" w:rsidP="001E7B29">
      <w:r>
        <w:t>Участник</w:t>
      </w:r>
      <w:r>
        <w:t xml:space="preserve"> № 186 = (1036800-115000)/(193200-115000)*100%=11,79</w:t>
      </w:r>
    </w:p>
    <w:p w:rsidR="006710E4" w:rsidRDefault="006710E4" w:rsidP="001E7B29"/>
    <w:p w:rsidR="00DE6FC3" w:rsidRDefault="00DE6FC3" w:rsidP="001E7B29">
      <w:r>
        <w:t>Участник</w:t>
      </w:r>
      <w:r>
        <w:t xml:space="preserve"> № 150 = (115000-11500)/(193200-115000)*100%=0,0</w:t>
      </w:r>
    </w:p>
    <w:p w:rsidR="006710E4" w:rsidRDefault="006710E4" w:rsidP="001E7B29"/>
    <w:p w:rsidR="00DE6FC3" w:rsidRDefault="00DE6FC3" w:rsidP="001E7B29">
      <w:r>
        <w:t>Участник</w:t>
      </w:r>
      <w:r>
        <w:t xml:space="preserve"> № 225 = (8700000-115000)/(193200-115000)*100%=</w:t>
      </w:r>
      <w:r w:rsidRPr="00746FB5">
        <w:rPr>
          <w:highlight w:val="yellow"/>
        </w:rPr>
        <w:t>109,79</w:t>
      </w:r>
    </w:p>
    <w:p w:rsidR="006710E4" w:rsidRDefault="006710E4" w:rsidP="001E7B29"/>
    <w:p w:rsidR="00DE6FC3" w:rsidRDefault="00DE6FC3" w:rsidP="001E7B29">
      <w:r>
        <w:t>Участник</w:t>
      </w:r>
      <w:r>
        <w:t xml:space="preserve"> № 129 = (475000-115000)/(193200-115000)*100%= 4,61</w:t>
      </w:r>
    </w:p>
    <w:p w:rsidR="00DE6FC3" w:rsidRDefault="00DE6FC3" w:rsidP="001E7B29"/>
    <w:p w:rsidR="00DE6FC3" w:rsidRDefault="00DE6FC3" w:rsidP="001E7B29"/>
    <w:p w:rsidR="00AD34AF" w:rsidRDefault="00AD34AF" w:rsidP="001E7B29"/>
    <w:p w:rsidR="00AD34AF" w:rsidRDefault="00AD34AF" w:rsidP="001E7B29"/>
    <w:p w:rsidR="00AD34AF" w:rsidRDefault="00AD34AF" w:rsidP="001E7B29"/>
    <w:p w:rsidR="00AD34AF" w:rsidRDefault="00AD34AF" w:rsidP="001E7B29"/>
    <w:p w:rsidR="00AD34AF" w:rsidRDefault="00AD34AF" w:rsidP="001E7B29"/>
    <w:p w:rsidR="00AD34AF" w:rsidRDefault="00AD34AF" w:rsidP="001E7B29"/>
    <w:p w:rsidR="00AD34AF" w:rsidRDefault="00AD34AF" w:rsidP="001E7B29"/>
    <w:p w:rsidR="00AD34AF" w:rsidRDefault="00AD34AF" w:rsidP="001E7B29"/>
    <w:p w:rsidR="00AD34AF" w:rsidRDefault="00AD34AF" w:rsidP="001E7B29"/>
    <w:p w:rsidR="00AD34AF" w:rsidRDefault="00AD34AF" w:rsidP="001E7B29"/>
    <w:p w:rsidR="00AD34AF" w:rsidRDefault="00AD34AF" w:rsidP="001E7B29"/>
    <w:p w:rsidR="00AD34AF" w:rsidRDefault="00AD34AF" w:rsidP="001E7B29"/>
    <w:p w:rsidR="001E7B29" w:rsidRPr="0092555F" w:rsidRDefault="001E7B29" w:rsidP="001E7B29">
      <w:pPr>
        <w:tabs>
          <w:tab w:val="left" w:pos="-360"/>
          <w:tab w:val="left" w:pos="360"/>
        </w:tabs>
        <w:jc w:val="center"/>
      </w:pPr>
      <w:r w:rsidRPr="0092555F">
        <w:lastRenderedPageBreak/>
        <w:t>Отдельные положения о применении отдельных критериев оценки, показателей оценки и показателей оценки, детализирующих показатели оценки</w:t>
      </w:r>
    </w:p>
    <w:tbl>
      <w:tblPr>
        <w:tblStyle w:val="a3"/>
        <w:tblW w:w="5000" w:type="pct"/>
        <w:tblLook w:val="04A0" w:firstRow="1" w:lastRow="0" w:firstColumn="1" w:lastColumn="0" w:noHBand="0" w:noVBand="1"/>
      </w:tblPr>
      <w:tblGrid>
        <w:gridCol w:w="1308"/>
        <w:gridCol w:w="4838"/>
        <w:gridCol w:w="8640"/>
      </w:tblGrid>
      <w:tr w:rsidR="001E7B29" w:rsidRPr="0092555F" w:rsidTr="00F54A5A">
        <w:tc>
          <w:tcPr>
            <w:tcW w:w="687" w:type="dxa"/>
            <w:shd w:val="clear" w:color="auto" w:fill="D9D9D9" w:themeFill="background1" w:themeFillShade="D9"/>
          </w:tcPr>
          <w:p w:rsidR="001E7B29" w:rsidRPr="0092555F" w:rsidRDefault="001E7B29" w:rsidP="00F54A5A">
            <w:pPr>
              <w:tabs>
                <w:tab w:val="left" w:pos="-360"/>
                <w:tab w:val="left" w:pos="360"/>
              </w:tabs>
              <w:jc w:val="center"/>
              <w:rPr>
                <w:sz w:val="22"/>
                <w:szCs w:val="22"/>
              </w:rPr>
            </w:pPr>
            <w:r w:rsidRPr="0092555F">
              <w:rPr>
                <w:sz w:val="22"/>
                <w:szCs w:val="22"/>
              </w:rPr>
              <w:t>№</w:t>
            </w:r>
          </w:p>
        </w:tc>
        <w:tc>
          <w:tcPr>
            <w:tcW w:w="2540" w:type="dxa"/>
            <w:shd w:val="clear" w:color="auto" w:fill="D9D9D9" w:themeFill="background1" w:themeFillShade="D9"/>
          </w:tcPr>
          <w:p w:rsidR="001E7B29" w:rsidRPr="0092555F" w:rsidRDefault="001E7B29" w:rsidP="00F54A5A">
            <w:pPr>
              <w:tabs>
                <w:tab w:val="left" w:pos="-360"/>
                <w:tab w:val="left" w:pos="360"/>
              </w:tabs>
              <w:jc w:val="center"/>
              <w:rPr>
                <w:sz w:val="22"/>
                <w:szCs w:val="22"/>
              </w:rPr>
            </w:pPr>
            <w:r w:rsidRPr="0092555F">
              <w:rPr>
                <w:sz w:val="22"/>
                <w:szCs w:val="22"/>
              </w:rPr>
              <w:t>Наименование критерия оценки, показателя оценки, показателя оценки, детализирующего показатель оценки, при применении которого устанавливается положение графой 3</w:t>
            </w:r>
          </w:p>
        </w:tc>
        <w:tc>
          <w:tcPr>
            <w:tcW w:w="4536" w:type="dxa"/>
            <w:shd w:val="clear" w:color="auto" w:fill="D9D9D9" w:themeFill="background1" w:themeFillShade="D9"/>
          </w:tcPr>
          <w:p w:rsidR="001E7B29" w:rsidRPr="0092555F" w:rsidRDefault="001E7B29" w:rsidP="00F54A5A">
            <w:pPr>
              <w:tabs>
                <w:tab w:val="left" w:pos="-360"/>
                <w:tab w:val="left" w:pos="360"/>
              </w:tabs>
              <w:jc w:val="center"/>
              <w:rPr>
                <w:sz w:val="22"/>
                <w:szCs w:val="22"/>
              </w:rPr>
            </w:pPr>
            <w:r w:rsidRPr="0092555F">
              <w:rPr>
                <w:sz w:val="22"/>
                <w:szCs w:val="22"/>
              </w:rPr>
              <w:t>Положение о применении критерия оценки, показателя оценки, показателя оценки, детализирующего показатель оценки</w:t>
            </w:r>
          </w:p>
        </w:tc>
      </w:tr>
    </w:tbl>
    <w:p w:rsidR="001E7B29" w:rsidRPr="0092555F" w:rsidRDefault="001E7B29" w:rsidP="001E7B29"/>
    <w:tbl>
      <w:tblPr>
        <w:tblStyle w:val="a3"/>
        <w:tblW w:w="5000" w:type="pct"/>
        <w:jc w:val="center"/>
        <w:tblLook w:val="04A0" w:firstRow="1" w:lastRow="0" w:firstColumn="1" w:lastColumn="0" w:noHBand="0" w:noVBand="1"/>
      </w:tblPr>
      <w:tblGrid>
        <w:gridCol w:w="1304"/>
        <w:gridCol w:w="4842"/>
        <w:gridCol w:w="8640"/>
      </w:tblGrid>
      <w:tr w:rsidR="001E7B29" w:rsidRPr="0092555F" w:rsidTr="00F54A5A">
        <w:trPr>
          <w:tblHeader/>
          <w:jc w:val="center"/>
        </w:trPr>
        <w:tc>
          <w:tcPr>
            <w:tcW w:w="685" w:type="dxa"/>
            <w:shd w:val="clear" w:color="auto" w:fill="D9D9D9" w:themeFill="background1" w:themeFillShade="D9"/>
          </w:tcPr>
          <w:p w:rsidR="001E7B29" w:rsidRPr="0092555F" w:rsidRDefault="001E7B29" w:rsidP="00F54A5A">
            <w:pPr>
              <w:tabs>
                <w:tab w:val="left" w:pos="-360"/>
                <w:tab w:val="left" w:pos="360"/>
              </w:tabs>
              <w:jc w:val="center"/>
              <w:rPr>
                <w:sz w:val="22"/>
                <w:szCs w:val="22"/>
              </w:rPr>
            </w:pPr>
            <w:r w:rsidRPr="0092555F">
              <w:rPr>
                <w:sz w:val="22"/>
                <w:szCs w:val="22"/>
              </w:rPr>
              <w:t>1</w:t>
            </w:r>
          </w:p>
        </w:tc>
        <w:tc>
          <w:tcPr>
            <w:tcW w:w="2542" w:type="dxa"/>
            <w:shd w:val="clear" w:color="auto" w:fill="D9D9D9" w:themeFill="background1" w:themeFillShade="D9"/>
          </w:tcPr>
          <w:p w:rsidR="001E7B29" w:rsidRPr="0092555F" w:rsidRDefault="001E7B29" w:rsidP="00F54A5A">
            <w:pPr>
              <w:tabs>
                <w:tab w:val="left" w:pos="-360"/>
                <w:tab w:val="left" w:pos="360"/>
              </w:tabs>
              <w:jc w:val="center"/>
              <w:rPr>
                <w:sz w:val="22"/>
                <w:szCs w:val="22"/>
              </w:rPr>
            </w:pPr>
            <w:r w:rsidRPr="0092555F">
              <w:rPr>
                <w:sz w:val="22"/>
                <w:szCs w:val="22"/>
              </w:rPr>
              <w:t>2</w:t>
            </w:r>
          </w:p>
        </w:tc>
        <w:tc>
          <w:tcPr>
            <w:tcW w:w="4536" w:type="dxa"/>
            <w:shd w:val="clear" w:color="auto" w:fill="D9D9D9" w:themeFill="background1" w:themeFillShade="D9"/>
          </w:tcPr>
          <w:p w:rsidR="001E7B29" w:rsidRPr="0092555F" w:rsidRDefault="001E7B29" w:rsidP="00F54A5A">
            <w:pPr>
              <w:tabs>
                <w:tab w:val="left" w:pos="-360"/>
                <w:tab w:val="left" w:pos="360"/>
              </w:tabs>
              <w:jc w:val="center"/>
              <w:rPr>
                <w:sz w:val="22"/>
                <w:szCs w:val="22"/>
              </w:rPr>
            </w:pPr>
            <w:r w:rsidRPr="0092555F">
              <w:rPr>
                <w:sz w:val="22"/>
                <w:szCs w:val="22"/>
              </w:rPr>
              <w:t>3</w:t>
            </w:r>
          </w:p>
        </w:tc>
      </w:tr>
      <w:tr w:rsidR="001E7B29" w:rsidRPr="0092555F" w:rsidTr="00F54A5A">
        <w:trPr>
          <w:jc w:val="center"/>
        </w:trPr>
        <w:tc>
          <w:tcPr>
            <w:tcW w:w="7763" w:type="dxa"/>
            <w:gridSpan w:val="3"/>
          </w:tcPr>
          <w:p w:rsidR="001E7B29" w:rsidRPr="0092555F" w:rsidRDefault="001E7B29" w:rsidP="00F54A5A">
            <w:pPr>
              <w:tabs>
                <w:tab w:val="left" w:pos="-360"/>
                <w:tab w:val="left" w:pos="360"/>
              </w:tabs>
              <w:jc w:val="center"/>
              <w:rPr>
                <w:sz w:val="22"/>
                <w:szCs w:val="22"/>
              </w:rPr>
            </w:pPr>
            <w:proofErr w:type="gramStart"/>
            <w:r w:rsidRPr="0092555F">
              <w:rPr>
                <w:sz w:val="22"/>
                <w:szCs w:val="22"/>
              </w:rPr>
              <w:t>Порядок оценки заявок на участие в конкурсе осуществляется в соответствии со статьей 32 Федерального закона от 05.04.2013 №44-ФЗ и с постановлением Правительства РФ от 31.12.2021 №2604 «Об оценке заявок на участие в закупке товаров, работ, услуг для обеспечения государственных и муниципальных нужд, внесении изменений в пункт 4 постановления Правительства РВ от 20 декабря 2021 г. №2369 и признании утратившими силу</w:t>
            </w:r>
            <w:proofErr w:type="gramEnd"/>
            <w:r w:rsidRPr="0092555F">
              <w:rPr>
                <w:sz w:val="22"/>
                <w:szCs w:val="22"/>
              </w:rPr>
              <w:t xml:space="preserve"> некоторых актов и отдельных положений некоторых актов Правительства РФ».</w:t>
            </w:r>
          </w:p>
        </w:tc>
      </w:tr>
      <w:tr w:rsidR="001E7B29" w:rsidRPr="0092555F" w:rsidTr="00F54A5A">
        <w:trPr>
          <w:jc w:val="center"/>
        </w:trPr>
        <w:tc>
          <w:tcPr>
            <w:tcW w:w="685" w:type="dxa"/>
          </w:tcPr>
          <w:p w:rsidR="001E7B29" w:rsidRPr="0092555F" w:rsidRDefault="001E7B29" w:rsidP="00F54A5A">
            <w:pPr>
              <w:tabs>
                <w:tab w:val="left" w:pos="-360"/>
                <w:tab w:val="left" w:pos="360"/>
              </w:tabs>
              <w:ind w:firstLine="0"/>
              <w:jc w:val="center"/>
              <w:rPr>
                <w:sz w:val="22"/>
                <w:szCs w:val="22"/>
              </w:rPr>
            </w:pPr>
            <w:r w:rsidRPr="0092555F">
              <w:rPr>
                <w:sz w:val="22"/>
                <w:szCs w:val="22"/>
              </w:rPr>
              <w:t>1.</w:t>
            </w:r>
          </w:p>
        </w:tc>
        <w:tc>
          <w:tcPr>
            <w:tcW w:w="2542" w:type="dxa"/>
          </w:tcPr>
          <w:p w:rsidR="001E7B29" w:rsidRPr="00A358F3" w:rsidRDefault="001E7B29" w:rsidP="00F54A5A">
            <w:pPr>
              <w:tabs>
                <w:tab w:val="left" w:pos="-360"/>
                <w:tab w:val="left" w:pos="360"/>
              </w:tabs>
              <w:jc w:val="center"/>
              <w:rPr>
                <w:sz w:val="22"/>
                <w:szCs w:val="22"/>
              </w:rPr>
            </w:pPr>
            <w:r w:rsidRPr="00A358F3">
              <w:rPr>
                <w:sz w:val="22"/>
                <w:szCs w:val="22"/>
              </w:rPr>
              <w:t>Критерий оценки «Цена контракта, сумма цен единиц товара, работы, услуги»</w:t>
            </w:r>
          </w:p>
        </w:tc>
        <w:tc>
          <w:tcPr>
            <w:tcW w:w="4536" w:type="dxa"/>
          </w:tcPr>
          <w:p w:rsidR="001E7B29" w:rsidRPr="00A358F3" w:rsidRDefault="001E7B29" w:rsidP="00F54A5A">
            <w:pPr>
              <w:tabs>
                <w:tab w:val="left" w:pos="-360"/>
                <w:tab w:val="left" w:pos="360"/>
              </w:tabs>
              <w:rPr>
                <w:sz w:val="22"/>
                <w:szCs w:val="22"/>
              </w:rPr>
            </w:pPr>
            <w:r w:rsidRPr="00A358F3">
              <w:rPr>
                <w:sz w:val="22"/>
                <w:szCs w:val="22"/>
              </w:rPr>
              <w:t>Сумма величин значимости критериев оценки составляет 100 процентов.</w:t>
            </w:r>
          </w:p>
          <w:p w:rsidR="001E7B29" w:rsidRPr="00A358F3" w:rsidRDefault="001E7B29" w:rsidP="00F54A5A">
            <w:pPr>
              <w:tabs>
                <w:tab w:val="left" w:pos="-360"/>
                <w:tab w:val="left" w:pos="360"/>
              </w:tabs>
              <w:rPr>
                <w:sz w:val="22"/>
                <w:szCs w:val="22"/>
              </w:rPr>
            </w:pPr>
            <w:r w:rsidRPr="00A358F3">
              <w:rPr>
                <w:sz w:val="22"/>
                <w:szCs w:val="22"/>
              </w:rPr>
              <w:t>Заявкам, содержащим наилучшее ценовое предложение, а также предложение, равное такому наилучшему ценовому предложению, присваивается 100 баллов.</w:t>
            </w:r>
          </w:p>
          <w:p w:rsidR="001E7B29" w:rsidRPr="00A358F3" w:rsidRDefault="001E7B29" w:rsidP="00F54A5A">
            <w:pPr>
              <w:tabs>
                <w:tab w:val="left" w:pos="-360"/>
                <w:tab w:val="left" w:pos="360"/>
              </w:tabs>
              <w:rPr>
                <w:sz w:val="22"/>
                <w:szCs w:val="22"/>
              </w:rPr>
            </w:pPr>
            <w:r w:rsidRPr="00A358F3">
              <w:rPr>
                <w:sz w:val="22"/>
                <w:szCs w:val="22"/>
              </w:rPr>
              <w:t>Применение показателей оценки по критерию оценки «Цена контракта, сумма цен единиц товара, работы, услуги» не допускается.</w:t>
            </w:r>
          </w:p>
          <w:p w:rsidR="001E7B29" w:rsidRPr="00A358F3" w:rsidRDefault="001E7B29" w:rsidP="00F54A5A">
            <w:pPr>
              <w:tabs>
                <w:tab w:val="left" w:pos="-360"/>
                <w:tab w:val="left" w:pos="360"/>
              </w:tabs>
              <w:rPr>
                <w:sz w:val="22"/>
                <w:szCs w:val="22"/>
              </w:rPr>
            </w:pPr>
          </w:p>
          <w:p w:rsidR="001E7B29" w:rsidRPr="00A358F3" w:rsidRDefault="001E7B29" w:rsidP="00F54A5A">
            <w:pPr>
              <w:tabs>
                <w:tab w:val="left" w:pos="-360"/>
                <w:tab w:val="left" w:pos="360"/>
              </w:tabs>
              <w:rPr>
                <w:sz w:val="22"/>
                <w:szCs w:val="22"/>
              </w:rPr>
            </w:pPr>
            <w:r w:rsidRPr="00A358F3">
              <w:rPr>
                <w:sz w:val="22"/>
                <w:szCs w:val="22"/>
              </w:rPr>
              <w:t>В случае</w:t>
            </w:r>
            <w:proofErr w:type="gramStart"/>
            <w:r w:rsidRPr="00A358F3">
              <w:rPr>
                <w:sz w:val="22"/>
                <w:szCs w:val="22"/>
              </w:rPr>
              <w:t>,</w:t>
            </w:r>
            <w:proofErr w:type="gramEnd"/>
            <w:r w:rsidRPr="00A358F3">
              <w:rPr>
                <w:sz w:val="22"/>
                <w:szCs w:val="22"/>
              </w:rPr>
              <w:t xml:space="preserve"> если результат вычисления по формуле, указанной в пункте 1 раздела </w:t>
            </w:r>
            <w:r w:rsidRPr="00A358F3">
              <w:rPr>
                <w:sz w:val="22"/>
                <w:szCs w:val="22"/>
                <w:lang w:val="en-US"/>
              </w:rPr>
              <w:t>II</w:t>
            </w:r>
            <w:r w:rsidRPr="00A358F3">
              <w:rPr>
                <w:sz w:val="22"/>
                <w:szCs w:val="22"/>
              </w:rPr>
              <w:t xml:space="preserve"> Порядка рассмотрения и оценок заявок на участие в конкурсе, станет отрицательным (т.е. оцениваемое ценовое предложение многократно хуже лучшего ценового предложения, причем настолько хуже, что его оценка при сравнении с лучшим ценовым предложением выходит за рамки предусмотренных баллов от 100 до 0), то в отношении оцениваемого ценового предложения присваивается 0 баллов. Если таких ценовых предложений (превышающих лучшее ценовое предложение в два и более раза) несколько, то каждому из них присваивается 0 баллов.</w:t>
            </w:r>
          </w:p>
        </w:tc>
      </w:tr>
      <w:tr w:rsidR="001E7B29" w:rsidRPr="0092555F" w:rsidTr="00F54A5A">
        <w:trPr>
          <w:jc w:val="center"/>
        </w:trPr>
        <w:tc>
          <w:tcPr>
            <w:tcW w:w="685" w:type="dxa"/>
          </w:tcPr>
          <w:p w:rsidR="001E7B29" w:rsidRPr="0092555F" w:rsidRDefault="001E7B29" w:rsidP="00F54A5A">
            <w:pPr>
              <w:tabs>
                <w:tab w:val="left" w:pos="-360"/>
                <w:tab w:val="left" w:pos="360"/>
              </w:tabs>
              <w:ind w:firstLine="0"/>
              <w:jc w:val="center"/>
              <w:rPr>
                <w:sz w:val="22"/>
                <w:szCs w:val="22"/>
              </w:rPr>
            </w:pPr>
            <w:r>
              <w:rPr>
                <w:sz w:val="22"/>
                <w:szCs w:val="22"/>
              </w:rPr>
              <w:t>2</w:t>
            </w:r>
            <w:r w:rsidRPr="0092555F">
              <w:rPr>
                <w:sz w:val="22"/>
                <w:szCs w:val="22"/>
              </w:rPr>
              <w:t>.</w:t>
            </w:r>
          </w:p>
        </w:tc>
        <w:tc>
          <w:tcPr>
            <w:tcW w:w="2542" w:type="dxa"/>
          </w:tcPr>
          <w:p w:rsidR="001E7B29" w:rsidRPr="008410F1" w:rsidRDefault="001E7B29" w:rsidP="00F54A5A">
            <w:pPr>
              <w:tabs>
                <w:tab w:val="left" w:pos="-360"/>
                <w:tab w:val="left" w:pos="360"/>
              </w:tabs>
              <w:spacing w:after="200" w:line="276" w:lineRule="auto"/>
              <w:jc w:val="center"/>
              <w:rPr>
                <w:sz w:val="22"/>
                <w:szCs w:val="22"/>
              </w:rPr>
            </w:pPr>
            <w:r w:rsidRPr="008410F1">
              <w:rPr>
                <w:sz w:val="22"/>
                <w:szCs w:val="22"/>
              </w:rPr>
              <w:t>Критерий оценки «Квалификация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(договора), и де</w:t>
            </w:r>
            <w:r>
              <w:t xml:space="preserve">ловой репутации, специалистов и иных работников определенного уровня </w:t>
            </w:r>
            <w:r>
              <w:lastRenderedPageBreak/>
              <w:t>квалификации»</w:t>
            </w:r>
          </w:p>
          <w:p w:rsidR="001E7B29" w:rsidRPr="008410F1" w:rsidRDefault="001E7B29" w:rsidP="00F54A5A">
            <w:pPr>
              <w:tabs>
                <w:tab w:val="left" w:pos="-360"/>
                <w:tab w:val="left" w:pos="360"/>
              </w:tabs>
              <w:spacing w:after="200" w:line="276" w:lineRule="auto"/>
              <w:jc w:val="center"/>
              <w:rPr>
                <w:sz w:val="22"/>
                <w:szCs w:val="22"/>
              </w:rPr>
            </w:pPr>
          </w:p>
          <w:p w:rsidR="001E7B29" w:rsidRPr="008410F1" w:rsidRDefault="001E7B29" w:rsidP="00F54A5A">
            <w:pPr>
              <w:tabs>
                <w:tab w:val="left" w:pos="-360"/>
                <w:tab w:val="left" w:pos="360"/>
              </w:tabs>
              <w:spacing w:after="200" w:line="276" w:lineRule="auto"/>
              <w:jc w:val="center"/>
              <w:rPr>
                <w:sz w:val="22"/>
                <w:szCs w:val="22"/>
              </w:rPr>
            </w:pPr>
            <w:r>
              <w:t>Показатель оценки «Наличие у участников закупки специалистов и иных работников определенного уровня квалификации»</w:t>
            </w:r>
          </w:p>
          <w:p w:rsidR="001E7B29" w:rsidRPr="008410F1" w:rsidRDefault="001E7B29" w:rsidP="00F54A5A">
            <w:pPr>
              <w:tabs>
                <w:tab w:val="left" w:pos="-360"/>
                <w:tab w:val="left" w:pos="360"/>
              </w:tabs>
              <w:spacing w:after="200" w:line="276" w:lineRule="auto"/>
              <w:jc w:val="center"/>
              <w:rPr>
                <w:sz w:val="22"/>
                <w:szCs w:val="22"/>
              </w:rPr>
            </w:pPr>
          </w:p>
          <w:p w:rsidR="001E7B29" w:rsidRPr="008410F1" w:rsidRDefault="001E7B29" w:rsidP="00F54A5A">
            <w:pPr>
              <w:tabs>
                <w:tab w:val="left" w:pos="-360"/>
                <w:tab w:val="left" w:pos="360"/>
              </w:tabs>
              <w:spacing w:after="200" w:line="276" w:lineRule="auto"/>
              <w:jc w:val="center"/>
              <w:rPr>
                <w:sz w:val="22"/>
                <w:szCs w:val="22"/>
              </w:rPr>
            </w:pPr>
            <w:r w:rsidRPr="008410F1">
              <w:rPr>
                <w:sz w:val="22"/>
                <w:szCs w:val="22"/>
              </w:rPr>
              <w:t xml:space="preserve">Показатель оценки </w:t>
            </w:r>
            <w:r>
              <w:t>«Наличие у участников закупки опыта работы, связанного с предметом контракта»</w:t>
            </w:r>
          </w:p>
          <w:p w:rsidR="001E7B29" w:rsidRPr="008410F1" w:rsidRDefault="001E7B29" w:rsidP="00F54A5A">
            <w:pPr>
              <w:tabs>
                <w:tab w:val="left" w:pos="-360"/>
                <w:tab w:val="left" w:pos="360"/>
              </w:tabs>
              <w:spacing w:after="200" w:line="276" w:lineRule="auto"/>
              <w:ind w:firstLine="0"/>
              <w:rPr>
                <w:sz w:val="22"/>
                <w:szCs w:val="22"/>
              </w:rPr>
            </w:pPr>
          </w:p>
        </w:tc>
        <w:tc>
          <w:tcPr>
            <w:tcW w:w="4536" w:type="dxa"/>
          </w:tcPr>
          <w:p w:rsidR="001E7B29" w:rsidRPr="008410F1" w:rsidRDefault="001E7B29" w:rsidP="00F54A5A">
            <w:pPr>
              <w:tabs>
                <w:tab w:val="left" w:pos="-360"/>
                <w:tab w:val="left" w:pos="360"/>
              </w:tabs>
              <w:spacing w:after="200" w:line="276" w:lineRule="auto"/>
              <w:rPr>
                <w:sz w:val="22"/>
                <w:szCs w:val="22"/>
              </w:rPr>
            </w:pPr>
            <w:r>
              <w:lastRenderedPageBreak/>
              <w:t xml:space="preserve">По критерию оценки «Квалификация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(договора), и деловой репутации, специалистов и иных работников определенного уровня квалификации» применяются показатели оценки. </w:t>
            </w:r>
          </w:p>
          <w:p w:rsidR="001E7B29" w:rsidRPr="008410F1" w:rsidRDefault="001E7B29" w:rsidP="00F54A5A">
            <w:pPr>
              <w:tabs>
                <w:tab w:val="left" w:pos="-360"/>
                <w:tab w:val="left" w:pos="360"/>
              </w:tabs>
              <w:spacing w:after="200" w:line="276" w:lineRule="auto"/>
              <w:rPr>
                <w:sz w:val="22"/>
                <w:szCs w:val="22"/>
              </w:rPr>
            </w:pPr>
            <w:r>
              <w:t xml:space="preserve">В отношении каждого показателя оценки устанавливается значимость </w:t>
            </w:r>
            <w:r>
              <w:lastRenderedPageBreak/>
              <w:t>показателя оценки. Сумма величин значимости всех применяемых показателей оценки по критерию оценки составляет 100 процентов.</w:t>
            </w:r>
          </w:p>
          <w:p w:rsidR="001E7B29" w:rsidRPr="008410F1" w:rsidRDefault="001E7B29" w:rsidP="00F54A5A">
            <w:pPr>
              <w:tabs>
                <w:tab w:val="left" w:pos="-360"/>
                <w:tab w:val="left" w:pos="360"/>
              </w:tabs>
              <w:spacing w:after="200" w:line="276" w:lineRule="auto"/>
              <w:rPr>
                <w:sz w:val="22"/>
                <w:szCs w:val="22"/>
              </w:rPr>
            </w:pPr>
            <w:r>
              <w:t>Оценка заявки (части заявки) по критерию оценки определяется путем суммирования среднего количества баллов, присвоенных всеми принимавшими участие в ее рассмотрении и оценке членами комиссии по осуществлению закупок по каждому показателю оценки, умноженного на значимость соответствующего показателя оценки. При этом среднее количество баллов определяется путем суммирования количества баллов, присвоенных каждым членом комиссии по осуществлению закупок, и последующего деления на количество таких членов.</w:t>
            </w:r>
          </w:p>
        </w:tc>
      </w:tr>
      <w:tr w:rsidR="001E7B29" w:rsidRPr="0092555F" w:rsidTr="00F54A5A">
        <w:trPr>
          <w:trHeight w:val="577"/>
          <w:jc w:val="center"/>
        </w:trPr>
        <w:tc>
          <w:tcPr>
            <w:tcW w:w="685" w:type="dxa"/>
          </w:tcPr>
          <w:p w:rsidR="001E7B29" w:rsidRPr="0092555F" w:rsidRDefault="001E7B29" w:rsidP="00F54A5A">
            <w:pPr>
              <w:tabs>
                <w:tab w:val="left" w:pos="-360"/>
                <w:tab w:val="left" w:pos="360"/>
              </w:tabs>
              <w:ind w:firstLine="0"/>
              <w:jc w:val="center"/>
              <w:rPr>
                <w:sz w:val="22"/>
                <w:szCs w:val="22"/>
              </w:rPr>
            </w:pPr>
            <w:r>
              <w:rPr>
                <w:sz w:val="22"/>
                <w:szCs w:val="22"/>
              </w:rPr>
              <w:lastRenderedPageBreak/>
              <w:t>3</w:t>
            </w:r>
            <w:r w:rsidRPr="0092555F">
              <w:rPr>
                <w:sz w:val="22"/>
                <w:szCs w:val="22"/>
              </w:rPr>
              <w:t>.</w:t>
            </w:r>
          </w:p>
        </w:tc>
        <w:tc>
          <w:tcPr>
            <w:tcW w:w="2542" w:type="dxa"/>
          </w:tcPr>
          <w:p w:rsidR="001E7B29" w:rsidRPr="008410F1" w:rsidRDefault="001E7B29" w:rsidP="00F54A5A">
            <w:pPr>
              <w:tabs>
                <w:tab w:val="left" w:pos="-360"/>
                <w:tab w:val="left" w:pos="360"/>
              </w:tabs>
              <w:spacing w:after="200" w:line="276" w:lineRule="auto"/>
              <w:jc w:val="center"/>
              <w:rPr>
                <w:sz w:val="22"/>
                <w:szCs w:val="22"/>
              </w:rPr>
            </w:pPr>
            <w:r w:rsidRPr="008410F1">
              <w:rPr>
                <w:sz w:val="22"/>
                <w:szCs w:val="22"/>
              </w:rPr>
              <w:t>Показатель оценки «Наличие у участников закупки специалистов и иных работников определенного уровня квалификации»:</w:t>
            </w:r>
          </w:p>
          <w:p w:rsidR="001E7B29" w:rsidRPr="008410F1" w:rsidRDefault="001E7B29" w:rsidP="00F54A5A">
            <w:pPr>
              <w:tabs>
                <w:tab w:val="left" w:pos="-360"/>
                <w:tab w:val="left" w:pos="360"/>
              </w:tabs>
              <w:spacing w:after="200" w:line="276" w:lineRule="auto"/>
              <w:jc w:val="center"/>
              <w:rPr>
                <w:sz w:val="22"/>
                <w:szCs w:val="22"/>
              </w:rPr>
            </w:pPr>
          </w:p>
          <w:p w:rsidR="001E7B29" w:rsidRPr="008410F1" w:rsidRDefault="001E7B29" w:rsidP="00F54A5A">
            <w:pPr>
              <w:tabs>
                <w:tab w:val="left" w:pos="-360"/>
                <w:tab w:val="left" w:pos="360"/>
              </w:tabs>
              <w:spacing w:after="200" w:line="276" w:lineRule="auto"/>
              <w:jc w:val="center"/>
              <w:rPr>
                <w:sz w:val="22"/>
                <w:szCs w:val="22"/>
              </w:rPr>
            </w:pPr>
            <w:r>
              <w:t>Показатель оценки, детализирующий показатель оценки «наличие у участников закупки специалистов для целей проведения аудита бухгалтерской (финансовой) отчетности»</w:t>
            </w:r>
          </w:p>
          <w:p w:rsidR="001E7B29" w:rsidRPr="008410F1" w:rsidRDefault="001E7B29" w:rsidP="00F54A5A">
            <w:pPr>
              <w:tabs>
                <w:tab w:val="left" w:pos="-360"/>
                <w:tab w:val="left" w:pos="360"/>
              </w:tabs>
              <w:spacing w:after="200" w:line="276" w:lineRule="auto"/>
              <w:ind w:firstLine="0"/>
              <w:rPr>
                <w:sz w:val="22"/>
                <w:szCs w:val="22"/>
              </w:rPr>
            </w:pPr>
          </w:p>
        </w:tc>
        <w:tc>
          <w:tcPr>
            <w:tcW w:w="4536" w:type="dxa"/>
          </w:tcPr>
          <w:p w:rsidR="001E7B29" w:rsidRPr="008410F1" w:rsidRDefault="001E7B29" w:rsidP="00F54A5A">
            <w:pPr>
              <w:tabs>
                <w:tab w:val="left" w:pos="-360"/>
                <w:tab w:val="left" w:pos="360"/>
              </w:tabs>
              <w:spacing w:after="200" w:line="276" w:lineRule="auto"/>
              <w:rPr>
                <w:sz w:val="22"/>
                <w:szCs w:val="22"/>
              </w:rPr>
            </w:pPr>
            <w:r>
              <w:t>Для показателей оценки по критерию оценки «Квалификация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(договора), и деловой репутации, специалистов и иных работников определенного уровня квалификации» применяются детализирующие показатели.</w:t>
            </w:r>
          </w:p>
          <w:p w:rsidR="001E7B29" w:rsidRPr="008410F1" w:rsidRDefault="001E7B29" w:rsidP="00F54A5A">
            <w:pPr>
              <w:tabs>
                <w:tab w:val="left" w:pos="-360"/>
                <w:tab w:val="left" w:pos="360"/>
              </w:tabs>
              <w:spacing w:after="200" w:line="276" w:lineRule="auto"/>
              <w:rPr>
                <w:sz w:val="22"/>
                <w:szCs w:val="22"/>
              </w:rPr>
            </w:pPr>
            <w:r>
              <w:t>В отношении каждого детализирующего показателя устанавливается значимость детализирующего показателя. Сумма величин значимости всех применяемых детализирующих показателей по показателю оценки составляет 100 процентов.</w:t>
            </w:r>
          </w:p>
          <w:p w:rsidR="001E7B29" w:rsidRPr="008410F1" w:rsidRDefault="001E7B29" w:rsidP="00F54A5A">
            <w:pPr>
              <w:tabs>
                <w:tab w:val="left" w:pos="-360"/>
                <w:tab w:val="left" w:pos="360"/>
              </w:tabs>
              <w:spacing w:after="200" w:line="276" w:lineRule="auto"/>
              <w:rPr>
                <w:sz w:val="22"/>
                <w:szCs w:val="22"/>
              </w:rPr>
            </w:pPr>
            <w:r>
              <w:t xml:space="preserve">Оценка заявки (части заявки) по показателю оценки определяется путем суммирования среднего количества баллов, присвоенных всеми принимавшими </w:t>
            </w:r>
            <w:r>
              <w:lastRenderedPageBreak/>
              <w:t>участие в ее рассмотрении и оценке членами комиссии по осуществлению закупок по каждому детализирующему показателю, умноженного на значимость соответствующего детализирующего показателя. При этом среднее количество баллов определяется путем суммирования количества баллов, присвоенных каждым членом комиссии по осуществлению закупок, и последующего деления на количество таких членов.</w:t>
            </w:r>
          </w:p>
        </w:tc>
      </w:tr>
      <w:tr w:rsidR="001E7B29" w:rsidRPr="0092555F" w:rsidTr="00F54A5A">
        <w:trPr>
          <w:trHeight w:val="577"/>
          <w:jc w:val="center"/>
        </w:trPr>
        <w:tc>
          <w:tcPr>
            <w:tcW w:w="685" w:type="dxa"/>
          </w:tcPr>
          <w:p w:rsidR="001E7B29" w:rsidRDefault="001E7B29" w:rsidP="00F54A5A">
            <w:pPr>
              <w:tabs>
                <w:tab w:val="left" w:pos="-360"/>
                <w:tab w:val="left" w:pos="360"/>
              </w:tabs>
              <w:ind w:firstLine="0"/>
              <w:jc w:val="center"/>
            </w:pPr>
            <w:r>
              <w:lastRenderedPageBreak/>
              <w:t>4.</w:t>
            </w:r>
          </w:p>
        </w:tc>
        <w:tc>
          <w:tcPr>
            <w:tcW w:w="2542" w:type="dxa"/>
          </w:tcPr>
          <w:p w:rsidR="001E7B29" w:rsidRPr="008410F1" w:rsidRDefault="001E7B29" w:rsidP="00F54A5A">
            <w:pPr>
              <w:tabs>
                <w:tab w:val="left" w:pos="-360"/>
                <w:tab w:val="left" w:pos="360"/>
              </w:tabs>
              <w:spacing w:after="200" w:line="276" w:lineRule="auto"/>
              <w:jc w:val="center"/>
              <w:rPr>
                <w:sz w:val="22"/>
                <w:szCs w:val="22"/>
              </w:rPr>
            </w:pPr>
            <w:r w:rsidRPr="008410F1">
              <w:rPr>
                <w:sz w:val="22"/>
                <w:szCs w:val="22"/>
              </w:rPr>
              <w:t>Показатель оценки «</w:t>
            </w:r>
            <w:r>
              <w:t>Наличие у участников закупки опыта работы, связанного с предметом контракта»:</w:t>
            </w:r>
          </w:p>
          <w:p w:rsidR="001E7B29" w:rsidRPr="008410F1" w:rsidRDefault="001E7B29" w:rsidP="00F54A5A">
            <w:pPr>
              <w:tabs>
                <w:tab w:val="left" w:pos="-360"/>
                <w:tab w:val="left" w:pos="360"/>
              </w:tabs>
              <w:spacing w:after="200" w:line="276" w:lineRule="auto"/>
              <w:jc w:val="center"/>
              <w:rPr>
                <w:sz w:val="22"/>
                <w:szCs w:val="22"/>
              </w:rPr>
            </w:pPr>
          </w:p>
          <w:p w:rsidR="001E7B29" w:rsidRPr="008410F1" w:rsidRDefault="001E7B29" w:rsidP="00F54A5A">
            <w:pPr>
              <w:tabs>
                <w:tab w:val="left" w:pos="-360"/>
                <w:tab w:val="left" w:pos="360"/>
              </w:tabs>
              <w:spacing w:after="200" w:line="276" w:lineRule="auto"/>
              <w:jc w:val="center"/>
              <w:rPr>
                <w:sz w:val="22"/>
                <w:szCs w:val="22"/>
              </w:rPr>
            </w:pPr>
            <w:r>
              <w:t>Показатель оценки, детализирующий показатель оценки «Наибольшая цена одного из исполненных участником закупки договоров»</w:t>
            </w:r>
          </w:p>
          <w:p w:rsidR="001E7B29" w:rsidRPr="008410F1" w:rsidRDefault="001E7B29" w:rsidP="00F54A5A">
            <w:pPr>
              <w:tabs>
                <w:tab w:val="left" w:pos="-360"/>
                <w:tab w:val="left" w:pos="360"/>
              </w:tabs>
              <w:spacing w:after="200" w:line="276" w:lineRule="auto"/>
              <w:jc w:val="center"/>
              <w:rPr>
                <w:sz w:val="22"/>
                <w:szCs w:val="22"/>
              </w:rPr>
            </w:pPr>
          </w:p>
          <w:p w:rsidR="001E7B29" w:rsidRPr="008410F1" w:rsidRDefault="001E7B29" w:rsidP="00F54A5A">
            <w:pPr>
              <w:tabs>
                <w:tab w:val="left" w:pos="-360"/>
                <w:tab w:val="left" w:pos="360"/>
              </w:tabs>
              <w:spacing w:after="200" w:line="276" w:lineRule="auto"/>
              <w:jc w:val="center"/>
              <w:rPr>
                <w:sz w:val="22"/>
                <w:szCs w:val="22"/>
              </w:rPr>
            </w:pPr>
          </w:p>
        </w:tc>
        <w:tc>
          <w:tcPr>
            <w:tcW w:w="4536" w:type="dxa"/>
          </w:tcPr>
          <w:p w:rsidR="001E7B29" w:rsidRPr="008410F1" w:rsidRDefault="001E7B29" w:rsidP="00F54A5A">
            <w:pPr>
              <w:tabs>
                <w:tab w:val="left" w:pos="-360"/>
                <w:tab w:val="left" w:pos="360"/>
              </w:tabs>
              <w:spacing w:after="200" w:line="276" w:lineRule="auto"/>
              <w:rPr>
                <w:sz w:val="22"/>
                <w:szCs w:val="22"/>
              </w:rPr>
            </w:pPr>
            <w:r>
              <w:t>Для показателей оценки по критерию оценки «Квалификация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(договора), и деловой репутации, специалистов и иных работников определенного уровня квалификации» применяются детализирующие показатели.</w:t>
            </w:r>
          </w:p>
          <w:p w:rsidR="001E7B29" w:rsidRPr="008410F1" w:rsidRDefault="001E7B29" w:rsidP="00F54A5A">
            <w:pPr>
              <w:tabs>
                <w:tab w:val="left" w:pos="-360"/>
                <w:tab w:val="left" w:pos="360"/>
              </w:tabs>
              <w:spacing w:after="200" w:line="276" w:lineRule="auto"/>
              <w:rPr>
                <w:sz w:val="22"/>
                <w:szCs w:val="22"/>
              </w:rPr>
            </w:pPr>
            <w:r>
              <w:t>В отношении каждого детализирующего показателя устанавливается значимость детализирующего показателя. Сумма величин значимости всех применяемых детализирующих показателей по показателю оценки составляет 100 процентов.</w:t>
            </w:r>
          </w:p>
          <w:p w:rsidR="001E7B29" w:rsidRPr="008410F1" w:rsidRDefault="001E7B29" w:rsidP="00F54A5A">
            <w:pPr>
              <w:tabs>
                <w:tab w:val="left" w:pos="-360"/>
                <w:tab w:val="left" w:pos="360"/>
              </w:tabs>
              <w:spacing w:after="200" w:line="276" w:lineRule="auto"/>
              <w:rPr>
                <w:sz w:val="22"/>
                <w:szCs w:val="22"/>
              </w:rPr>
            </w:pPr>
            <w:r>
              <w:t>Оценка заявки (части заявки) по показателю оценки определяется путем суммирования среднего количества баллов, присвоенных всеми принимавшими участие в ее рассмотрении и оценке членами комиссии по осуществлению закупок по каждому детализирующему показателю, умноженного на значимость соответствующего детализирующего показателя. При этом среднее количество баллов определяется путем суммирования количества баллов, присвоенных каждым членом комиссии по осуществлению закупок, и последующего деления на количество таких членов.</w:t>
            </w:r>
          </w:p>
        </w:tc>
      </w:tr>
      <w:tr w:rsidR="001E7B29" w:rsidRPr="0092555F" w:rsidTr="00F54A5A">
        <w:trPr>
          <w:jc w:val="center"/>
        </w:trPr>
        <w:tc>
          <w:tcPr>
            <w:tcW w:w="685" w:type="dxa"/>
          </w:tcPr>
          <w:p w:rsidR="001E7B29" w:rsidRPr="0092555F" w:rsidRDefault="001E7B29" w:rsidP="00F54A5A">
            <w:pPr>
              <w:tabs>
                <w:tab w:val="left" w:pos="-360"/>
                <w:tab w:val="left" w:pos="360"/>
              </w:tabs>
              <w:ind w:firstLine="0"/>
              <w:jc w:val="center"/>
              <w:rPr>
                <w:sz w:val="22"/>
                <w:szCs w:val="22"/>
              </w:rPr>
            </w:pPr>
            <w:r>
              <w:rPr>
                <w:sz w:val="22"/>
                <w:szCs w:val="22"/>
              </w:rPr>
              <w:t>5</w:t>
            </w:r>
            <w:r w:rsidRPr="0092555F">
              <w:rPr>
                <w:sz w:val="22"/>
                <w:szCs w:val="22"/>
              </w:rPr>
              <w:t>.</w:t>
            </w:r>
          </w:p>
        </w:tc>
        <w:tc>
          <w:tcPr>
            <w:tcW w:w="2542" w:type="dxa"/>
          </w:tcPr>
          <w:p w:rsidR="001E7B29" w:rsidRPr="008410F1" w:rsidRDefault="001E7B29" w:rsidP="00F54A5A">
            <w:pPr>
              <w:tabs>
                <w:tab w:val="left" w:pos="-360"/>
                <w:tab w:val="left" w:pos="360"/>
              </w:tabs>
              <w:jc w:val="center"/>
              <w:rPr>
                <w:sz w:val="22"/>
                <w:szCs w:val="22"/>
              </w:rPr>
            </w:pPr>
            <w:r w:rsidRPr="008410F1">
              <w:rPr>
                <w:sz w:val="22"/>
                <w:szCs w:val="22"/>
              </w:rPr>
              <w:t>Показатель оценки, детализирующий показатель оценки:</w:t>
            </w:r>
          </w:p>
          <w:p w:rsidR="001E7B29" w:rsidRPr="008410F1" w:rsidRDefault="001E7B29" w:rsidP="00F54A5A">
            <w:pPr>
              <w:tabs>
                <w:tab w:val="left" w:pos="-360"/>
                <w:tab w:val="left" w:pos="360"/>
              </w:tabs>
              <w:spacing w:after="200" w:line="276" w:lineRule="auto"/>
              <w:jc w:val="center"/>
              <w:rPr>
                <w:sz w:val="22"/>
                <w:szCs w:val="22"/>
              </w:rPr>
            </w:pPr>
            <w:r>
              <w:lastRenderedPageBreak/>
              <w:t>1. «наличие у участников закупки специалистов для целей проведения аудита бухгалтерской (финансовой) отчетности»</w:t>
            </w:r>
          </w:p>
          <w:p w:rsidR="001E7B29" w:rsidRPr="008410F1" w:rsidRDefault="001E7B29" w:rsidP="00F54A5A">
            <w:pPr>
              <w:tabs>
                <w:tab w:val="left" w:pos="-360"/>
                <w:tab w:val="left" w:pos="360"/>
              </w:tabs>
              <w:spacing w:after="200" w:line="276" w:lineRule="auto"/>
              <w:jc w:val="center"/>
              <w:rPr>
                <w:sz w:val="22"/>
                <w:szCs w:val="22"/>
              </w:rPr>
            </w:pPr>
          </w:p>
          <w:p w:rsidR="001E7B29" w:rsidRPr="008410F1" w:rsidRDefault="001E7B29" w:rsidP="00F54A5A">
            <w:pPr>
              <w:tabs>
                <w:tab w:val="left" w:pos="-360"/>
                <w:tab w:val="left" w:pos="360"/>
              </w:tabs>
              <w:spacing w:after="200" w:line="276" w:lineRule="auto"/>
              <w:jc w:val="center"/>
              <w:rPr>
                <w:sz w:val="22"/>
                <w:szCs w:val="22"/>
              </w:rPr>
            </w:pPr>
          </w:p>
        </w:tc>
        <w:tc>
          <w:tcPr>
            <w:tcW w:w="4536" w:type="dxa"/>
          </w:tcPr>
          <w:p w:rsidR="001E7B29" w:rsidRPr="008410F1" w:rsidRDefault="001E7B29" w:rsidP="00F54A5A">
            <w:pPr>
              <w:tabs>
                <w:tab w:val="left" w:pos="-360"/>
                <w:tab w:val="left" w:pos="360"/>
              </w:tabs>
              <w:spacing w:after="200" w:line="276" w:lineRule="auto"/>
              <w:rPr>
                <w:b/>
                <w:sz w:val="22"/>
                <w:szCs w:val="22"/>
              </w:rPr>
            </w:pPr>
            <w:r>
              <w:rPr>
                <w:b/>
              </w:rPr>
              <w:lastRenderedPageBreak/>
              <w:t xml:space="preserve">1. Наличие у участников закупки специалистов для целей проведения </w:t>
            </w:r>
            <w:r>
              <w:rPr>
                <w:b/>
              </w:rPr>
              <w:lastRenderedPageBreak/>
              <w:t xml:space="preserve">аудита бухгалтерской (финансовой) отчетности </w:t>
            </w:r>
          </w:p>
          <w:p w:rsidR="001E7B29" w:rsidRPr="00190CAD" w:rsidRDefault="001E7B29" w:rsidP="00F54A5A">
            <w:pPr>
              <w:tabs>
                <w:tab w:val="left" w:pos="-360"/>
                <w:tab w:val="left" w:pos="360"/>
              </w:tabs>
              <w:spacing w:after="200" w:line="276" w:lineRule="auto"/>
              <w:rPr>
                <w:sz w:val="22"/>
                <w:szCs w:val="22"/>
              </w:rPr>
            </w:pPr>
            <w:r>
              <w:t xml:space="preserve">Для детализирующего показателя установлено предельное </w:t>
            </w:r>
            <w:r w:rsidRPr="00190CAD">
              <w:t xml:space="preserve">минимальное значение показателя, установленное заказчиком </w:t>
            </w:r>
            <m:oMath>
              <m:r>
                <m:rPr>
                  <m:sty m:val="p"/>
                </m:rPr>
                <w:rPr>
                  <w:rFonts w:ascii="Cambria Math" w:eastAsiaTheme="minorHAnsi" w:hAnsi="Cambria Math" w:cstheme="minorBidi"/>
                  <w:sz w:val="22"/>
                  <w:szCs w:val="22"/>
                  <w:lang w:eastAsia="en-US"/>
                </w:rPr>
                <w:object w:dxaOrig="720" w:dyaOrig="504">
                  <v:rect id="_x0000_i1028" style="width:36pt;height:24.75pt" o:ole="" o:preferrelative="t" stroked="f">
                    <v:imagedata r:id="rId7" o:title=""/>
                  </v:rect>
                  <o:OLEObject Type="Embed" ProgID="StaticMetafile" ShapeID="_x0000_i1028" DrawAspect="Content" ObjectID="_1727516721" r:id="rId10"/>
                </w:object>
              </m:r>
              <m:r>
                <w:rPr>
                  <w:rFonts w:ascii="Cambria Math"/>
                  <w:sz w:val="22"/>
                  <w:szCs w:val="22"/>
                </w:rPr>
                <m:t xml:space="preserve">=2 </m:t>
              </m:r>
              <m:r>
                <w:rPr>
                  <w:rFonts w:ascii="Cambria Math"/>
                  <w:sz w:val="22"/>
                  <w:szCs w:val="22"/>
                </w:rPr>
                <m:t>специалиста</m:t>
              </m:r>
              <m:r>
                <w:rPr>
                  <w:rFonts w:ascii="Cambria Math"/>
                </w:rPr>
                <m:t>.</m:t>
              </m:r>
            </m:oMath>
          </w:p>
          <w:p w:rsidR="001E7B29" w:rsidRPr="00190CAD" w:rsidRDefault="001E7B29" w:rsidP="00F54A5A">
            <w:pPr>
              <w:tabs>
                <w:tab w:val="left" w:pos="-360"/>
                <w:tab w:val="left" w:pos="360"/>
              </w:tabs>
              <w:spacing w:after="200" w:line="276" w:lineRule="auto"/>
            </w:pPr>
          </w:p>
          <w:p w:rsidR="001E7B29" w:rsidRPr="008410F1" w:rsidRDefault="001E7B29" w:rsidP="00F54A5A">
            <w:pPr>
              <w:tabs>
                <w:tab w:val="left" w:pos="-360"/>
                <w:tab w:val="left" w:pos="360"/>
              </w:tabs>
              <w:spacing w:after="200" w:line="276" w:lineRule="auto"/>
              <w:rPr>
                <w:sz w:val="22"/>
                <w:szCs w:val="22"/>
              </w:rPr>
            </w:pPr>
            <w:r w:rsidRPr="00190CAD">
              <w:t xml:space="preserve">Для детализирующего показателя установлено предельное максимальное значение показателя, установленное заказчиком </w:t>
            </w:r>
            <m:oMath>
              <m:sSubSup>
                <m:sSubSupPr>
                  <m:ctrlPr>
                    <w:rPr>
                      <w:rFonts w:ascii="Cambria Math" w:hAnsi="Cambria Math"/>
                      <w:i/>
                      <w:sz w:val="22"/>
                      <w:szCs w:val="22"/>
                    </w:rPr>
                  </m:ctrlPr>
                </m:sSubSupPr>
                <m:e>
                  <m:r>
                    <w:rPr>
                      <w:rFonts w:ascii="Cambria Math"/>
                      <w:sz w:val="22"/>
                      <w:szCs w:val="22"/>
                    </w:rPr>
                    <m:t>Х</m:t>
                  </m:r>
                </m:e>
                <m:sub>
                  <m:r>
                    <w:rPr>
                      <w:rFonts w:ascii="Cambria Math" w:hAnsi="Cambria Math"/>
                      <w:sz w:val="22"/>
                      <w:szCs w:val="22"/>
                      <w:lang w:val="en-US"/>
                    </w:rPr>
                    <m:t>ma</m:t>
                  </m:r>
                  <m:r>
                    <w:rPr>
                      <w:rFonts w:ascii="Cambria Math" w:hAnsi="Cambria Math"/>
                      <w:lang w:val="en-US"/>
                    </w:rPr>
                    <m:t>x</m:t>
                  </m:r>
                </m:sub>
                <m:sup>
                  <m:r>
                    <w:rPr>
                      <w:rFonts w:ascii="Cambria Math"/>
                      <w:sz w:val="22"/>
                      <w:szCs w:val="22"/>
                    </w:rPr>
                    <m:t>пред</m:t>
                  </m:r>
                </m:sup>
              </m:sSubSup>
              <m:r>
                <w:rPr>
                  <w:rFonts w:ascii="Cambria Math"/>
                  <w:sz w:val="22"/>
                  <w:szCs w:val="22"/>
                </w:rPr>
                <m:t xml:space="preserve">=5 </m:t>
              </m:r>
              <m:r>
                <w:rPr>
                  <w:rFonts w:ascii="Cambria Math"/>
                  <w:sz w:val="22"/>
                  <w:szCs w:val="22"/>
                </w:rPr>
                <m:t>специалистов</m:t>
              </m:r>
              <m:r>
                <w:rPr>
                  <w:rFonts w:ascii="Cambria Math"/>
                </w:rPr>
                <m:t>.</m:t>
              </m:r>
            </m:oMath>
          </w:p>
          <w:p w:rsidR="001E7B29" w:rsidRPr="008410F1" w:rsidRDefault="001E7B29" w:rsidP="00F54A5A">
            <w:pPr>
              <w:tabs>
                <w:tab w:val="left" w:pos="-360"/>
                <w:tab w:val="left" w:pos="360"/>
              </w:tabs>
              <w:spacing w:after="200" w:line="276" w:lineRule="auto"/>
              <w:rPr>
                <w:sz w:val="22"/>
                <w:szCs w:val="22"/>
              </w:rPr>
            </w:pPr>
            <w:r>
              <w:t>Если в предложении участника закупки содержится значение показателя, которое выше предельного значения, баллы по детализирующему показателю присваиваются в размере, предусмотренном для соответствующего предельного значения показателя.</w:t>
            </w:r>
          </w:p>
          <w:p w:rsidR="001E7B29" w:rsidRPr="008410F1" w:rsidRDefault="001E7B29" w:rsidP="00F54A5A">
            <w:pPr>
              <w:tabs>
                <w:tab w:val="left" w:pos="-360"/>
                <w:tab w:val="left" w:pos="360"/>
              </w:tabs>
              <w:spacing w:after="200" w:line="276" w:lineRule="auto"/>
              <w:rPr>
                <w:sz w:val="22"/>
                <w:szCs w:val="22"/>
              </w:rPr>
            </w:pPr>
          </w:p>
          <w:p w:rsidR="001E7B29" w:rsidRPr="008410F1" w:rsidRDefault="001E7B29" w:rsidP="00F54A5A">
            <w:pPr>
              <w:spacing w:after="200" w:line="276" w:lineRule="auto"/>
              <w:rPr>
                <w:sz w:val="22"/>
                <w:szCs w:val="22"/>
              </w:rPr>
            </w:pPr>
            <w:r>
              <w:t>Оценка и сопоставление заявок осуществляется на основании следующих документов:</w:t>
            </w:r>
          </w:p>
          <w:p w:rsidR="001E7B29" w:rsidRPr="008410F1" w:rsidRDefault="001E7B29" w:rsidP="00F54A5A">
            <w:pPr>
              <w:spacing w:after="200" w:line="276" w:lineRule="auto"/>
              <w:rPr>
                <w:sz w:val="22"/>
                <w:szCs w:val="22"/>
              </w:rPr>
            </w:pPr>
            <w:r>
              <w:t xml:space="preserve">трудовая книжка </w:t>
            </w:r>
          </w:p>
          <w:p w:rsidR="001E7B29" w:rsidRPr="008410F1" w:rsidRDefault="001E7B29" w:rsidP="00F54A5A">
            <w:pPr>
              <w:spacing w:after="200" w:line="276" w:lineRule="auto"/>
              <w:rPr>
                <w:sz w:val="22"/>
                <w:szCs w:val="22"/>
              </w:rPr>
            </w:pPr>
            <w:r>
              <w:t xml:space="preserve">или </w:t>
            </w:r>
          </w:p>
          <w:p w:rsidR="001E7B29" w:rsidRPr="008410F1" w:rsidRDefault="001E7B29" w:rsidP="00F54A5A">
            <w:pPr>
              <w:spacing w:after="200" w:line="276" w:lineRule="auto"/>
              <w:rPr>
                <w:sz w:val="22"/>
                <w:szCs w:val="22"/>
              </w:rPr>
            </w:pPr>
            <w:r>
              <w:t>сведения о трудовой деятельности, предусмотренные статьей 66.1 Трудового кодекса Российской Федерации</w:t>
            </w:r>
            <w:r w:rsidRPr="004D7BA7">
              <w:t>;</w:t>
            </w:r>
          </w:p>
          <w:p w:rsidR="001E7B29" w:rsidRPr="008410F1" w:rsidRDefault="001E7B29" w:rsidP="00F54A5A">
            <w:pPr>
              <w:spacing w:after="200" w:line="276" w:lineRule="auto"/>
              <w:rPr>
                <w:sz w:val="22"/>
                <w:szCs w:val="22"/>
              </w:rPr>
            </w:pPr>
            <w:r w:rsidRPr="008410F1">
              <w:rPr>
                <w:sz w:val="22"/>
                <w:szCs w:val="22"/>
              </w:rPr>
              <w:t xml:space="preserve"> копия </w:t>
            </w:r>
            <w:r>
              <w:t xml:space="preserve"> квалификационного аттестата аудитора, выданного СРО аудиторов в соответствии с Законом № 307-ФЗ,</w:t>
            </w:r>
          </w:p>
          <w:p w:rsidR="001E7B29" w:rsidRPr="008410F1" w:rsidRDefault="001E7B29" w:rsidP="00F54A5A">
            <w:pPr>
              <w:spacing w:after="200" w:line="276" w:lineRule="auto"/>
              <w:rPr>
                <w:sz w:val="22"/>
                <w:szCs w:val="22"/>
              </w:rPr>
            </w:pPr>
            <w:proofErr w:type="gramStart"/>
            <w:r>
              <w:t xml:space="preserve">Максимальное значение детализирующего показателя «Наличие у </w:t>
            </w:r>
            <w:r>
              <w:lastRenderedPageBreak/>
              <w:t xml:space="preserve">участников закупки специалистов для целей проведения аудита бухгалтерской (финансовой) </w:t>
            </w:r>
            <w:r w:rsidRPr="00190CAD">
              <w:t xml:space="preserve">отчетности» присваивается заявке, содержащей документальное подтверждение 5 (пяти) и более специалистов, </w:t>
            </w:r>
            <w:r w:rsidRPr="00190CAD">
              <w:rPr>
                <w:sz w:val="22"/>
                <w:szCs w:val="22"/>
              </w:rPr>
              <w:t xml:space="preserve">имеющих квалификационный аттестат аудитора, выданный СРО аудиторов в соответствии с </w:t>
            </w:r>
            <w:r w:rsidRPr="00190CAD">
              <w:rPr>
                <w:sz w:val="22"/>
                <w:szCs w:val="22"/>
                <w:lang w:eastAsia="en-US"/>
              </w:rPr>
              <w:t>Федеральным законом от 30.12.2008 № 307-ФЗ «Об аудиторской деятельности»</w:t>
            </w:r>
            <w:r w:rsidRPr="00190CAD">
              <w:t>, состоящих с участником закупки в трудовых отношениях, принятое к оценке заявки по показателю в соответствии с</w:t>
            </w:r>
            <w:proofErr w:type="gramEnd"/>
            <w:r w:rsidRPr="00190CAD">
              <w:t xml:space="preserve"> указанным выше порядком.</w:t>
            </w:r>
          </w:p>
        </w:tc>
      </w:tr>
      <w:tr w:rsidR="001E7B29" w:rsidRPr="0092555F" w:rsidTr="00F54A5A">
        <w:trPr>
          <w:jc w:val="center"/>
        </w:trPr>
        <w:tc>
          <w:tcPr>
            <w:tcW w:w="685" w:type="dxa"/>
          </w:tcPr>
          <w:p w:rsidR="001E7B29" w:rsidRDefault="001E7B29" w:rsidP="00F54A5A">
            <w:pPr>
              <w:tabs>
                <w:tab w:val="left" w:pos="-360"/>
                <w:tab w:val="left" w:pos="360"/>
              </w:tabs>
              <w:ind w:firstLine="0"/>
              <w:jc w:val="center"/>
            </w:pPr>
            <w:r>
              <w:lastRenderedPageBreak/>
              <w:t>6.</w:t>
            </w:r>
          </w:p>
        </w:tc>
        <w:tc>
          <w:tcPr>
            <w:tcW w:w="2542" w:type="dxa"/>
          </w:tcPr>
          <w:p w:rsidR="001E7B29" w:rsidRPr="008410F1" w:rsidRDefault="001E7B29" w:rsidP="00F54A5A">
            <w:pPr>
              <w:tabs>
                <w:tab w:val="left" w:pos="-360"/>
                <w:tab w:val="left" w:pos="360"/>
              </w:tabs>
              <w:jc w:val="center"/>
              <w:rPr>
                <w:sz w:val="22"/>
                <w:szCs w:val="22"/>
              </w:rPr>
            </w:pPr>
            <w:r w:rsidRPr="008410F1">
              <w:rPr>
                <w:sz w:val="22"/>
                <w:szCs w:val="22"/>
              </w:rPr>
              <w:t>Показатель оценки, детализирующий показатель оценки:</w:t>
            </w:r>
          </w:p>
          <w:p w:rsidR="001E7B29" w:rsidRPr="008410F1" w:rsidRDefault="001E7B29" w:rsidP="00F54A5A">
            <w:pPr>
              <w:tabs>
                <w:tab w:val="left" w:pos="-360"/>
                <w:tab w:val="left" w:pos="360"/>
              </w:tabs>
              <w:spacing w:after="200" w:line="276" w:lineRule="auto"/>
              <w:jc w:val="center"/>
              <w:rPr>
                <w:sz w:val="22"/>
                <w:szCs w:val="22"/>
              </w:rPr>
            </w:pPr>
            <w:r>
              <w:t>«Наибольшая цена одного из исполненных участником закупки договоров»</w:t>
            </w:r>
          </w:p>
          <w:p w:rsidR="001E7B29" w:rsidRPr="008410F1" w:rsidRDefault="001E7B29" w:rsidP="00F54A5A">
            <w:pPr>
              <w:tabs>
                <w:tab w:val="left" w:pos="-360"/>
                <w:tab w:val="left" w:pos="360"/>
              </w:tabs>
              <w:jc w:val="center"/>
            </w:pPr>
          </w:p>
        </w:tc>
        <w:tc>
          <w:tcPr>
            <w:tcW w:w="4536" w:type="dxa"/>
          </w:tcPr>
          <w:p w:rsidR="001E7B29" w:rsidRPr="008410F1" w:rsidRDefault="001E7B29" w:rsidP="00F54A5A">
            <w:pPr>
              <w:spacing w:after="160" w:line="259" w:lineRule="auto"/>
              <w:rPr>
                <w:sz w:val="22"/>
                <w:szCs w:val="22"/>
              </w:rPr>
            </w:pPr>
            <w:r>
              <w:t xml:space="preserve">Для детализирующего показателя установлено предельное максимальное значение показателя, установленное заказчиком, </w:t>
            </w:r>
          </w:p>
          <w:p w:rsidR="001E7B29" w:rsidRPr="008410F1" w:rsidRDefault="001E7B29" w:rsidP="00F54A5A">
            <w:pPr>
              <w:spacing w:after="200" w:line="259" w:lineRule="auto"/>
              <w:rPr>
                <w:sz w:val="22"/>
                <w:szCs w:val="22"/>
              </w:rPr>
            </w:pPr>
            <w:r>
              <w:t xml:space="preserve"> </w:t>
            </w:r>
            <m:oMath>
              <m:sSubSup>
                <m:sSubSupPr>
                  <m:ctrlPr>
                    <w:rPr>
                      <w:rFonts w:ascii="Cambria Math" w:hAnsi="Cambria Math"/>
                      <w:i/>
                      <w:sz w:val="22"/>
                      <w:szCs w:val="22"/>
                    </w:rPr>
                  </m:ctrlPr>
                </m:sSubSupPr>
                <m:e>
                  <m:r>
                    <w:rPr>
                      <w:rFonts w:ascii="Cambria Math" w:hAnsi="Cambria Math"/>
                      <w:sz w:val="22"/>
                      <w:szCs w:val="22"/>
                    </w:rPr>
                    <m:t>Х</m:t>
                  </m:r>
                </m:e>
                <m:sub>
                  <m:r>
                    <w:rPr>
                      <w:rFonts w:ascii="Cambria Math" w:hAnsi="Cambria Math"/>
                      <w:sz w:val="22"/>
                      <w:szCs w:val="22"/>
                      <w:lang w:val="en-US"/>
                    </w:rPr>
                    <m:t>max</m:t>
                  </m:r>
                </m:sub>
                <m:sup>
                  <m:r>
                    <w:rPr>
                      <w:rFonts w:ascii="Cambria Math" w:hAnsi="Cambria Math"/>
                      <w:sz w:val="22"/>
                      <w:szCs w:val="22"/>
                    </w:rPr>
                    <m:t>пред</m:t>
                  </m:r>
                </m:sup>
              </m:sSubSup>
            </m:oMath>
            <w:r>
              <w:t xml:space="preserve">- </w:t>
            </w:r>
            <w:r w:rsidRPr="006C0C90">
              <w:rPr>
                <w:b/>
              </w:rPr>
              <w:t>193 200,00 рублей</w:t>
            </w:r>
            <w:r>
              <w:rPr>
                <w:b/>
              </w:rPr>
              <w:t xml:space="preserve"> </w:t>
            </w:r>
          </w:p>
          <w:p w:rsidR="001E7B29" w:rsidRPr="008410F1" w:rsidRDefault="001E7B29" w:rsidP="00F54A5A">
            <w:pPr>
              <w:spacing w:after="120" w:line="259" w:lineRule="auto"/>
              <w:rPr>
                <w:sz w:val="22"/>
                <w:szCs w:val="22"/>
              </w:rPr>
            </w:pPr>
            <w:r>
              <w:t>Если в предложении участника закупки содержится значение показателя, которое выше предельного значения, баллы по детализирующему показателю присваиваются в размере, предусмотренном для соответствующего предельного значения показат</w:t>
            </w:r>
            <w:bookmarkStart w:id="0" w:name="_GoBack"/>
            <w:bookmarkEnd w:id="0"/>
            <w:r>
              <w:t>еля.</w:t>
            </w:r>
          </w:p>
          <w:p w:rsidR="001E7B29" w:rsidRPr="008410F1" w:rsidRDefault="001E7B29" w:rsidP="00F54A5A">
            <w:pPr>
              <w:spacing w:after="120" w:line="259" w:lineRule="auto"/>
              <w:rPr>
                <w:sz w:val="22"/>
                <w:szCs w:val="22"/>
              </w:rPr>
            </w:pPr>
            <w:r>
              <w:t>Предмет договора (договоров), оцениваемых по детализирующему показателю, сопоставимый с предметом договора, заключаемого по результатам настоящей закупки: «Услуги по проведению обязательного аудита бухгалтерской (финансовой) отчетности, подготовленной в соответствии с российским законодательством.</w:t>
            </w:r>
          </w:p>
          <w:p w:rsidR="001E7B29" w:rsidRPr="008410F1" w:rsidRDefault="001E7B29" w:rsidP="00F54A5A">
            <w:pPr>
              <w:spacing w:after="120" w:line="259" w:lineRule="auto"/>
              <w:rPr>
                <w:sz w:val="22"/>
                <w:szCs w:val="22"/>
              </w:rPr>
            </w:pPr>
            <w:r>
              <w:t>Перечень документов, подтверждающих наличие у участника закупки опыта оказания услуги, связанного с предметом договора и по наибольшей цене одного из исполненных участником закупки контрактов (договоров):</w:t>
            </w:r>
          </w:p>
          <w:p w:rsidR="001E7B29" w:rsidRPr="008410F1" w:rsidRDefault="001E7B29" w:rsidP="00F54A5A">
            <w:pPr>
              <w:spacing w:after="120" w:line="259" w:lineRule="auto"/>
              <w:rPr>
                <w:sz w:val="22"/>
                <w:szCs w:val="22"/>
              </w:rPr>
            </w:pPr>
            <w:proofErr w:type="gramStart"/>
            <w:r>
              <w:t xml:space="preserve">- исполненный договор, в том числе исполненный участником закупки с учетом правопреемства (в случае наличия в заявке подтверждающего документа) и акт (акты) оказанных услуг, составленные при исполнении такого договора, при этом последний акт, составленный при исполнении договора, должен быть </w:t>
            </w:r>
            <w:r>
              <w:lastRenderedPageBreak/>
              <w:t>подписан не ранее чем за 5 лет до даты окончания срока подачи заявок.</w:t>
            </w:r>
            <w:proofErr w:type="gramEnd"/>
          </w:p>
          <w:p w:rsidR="001E7B29" w:rsidRPr="008410F1" w:rsidRDefault="001E7B29" w:rsidP="00F54A5A">
            <w:pPr>
              <w:spacing w:after="160" w:line="259" w:lineRule="auto"/>
              <w:rPr>
                <w:sz w:val="22"/>
                <w:szCs w:val="22"/>
              </w:rPr>
            </w:pPr>
            <w:r>
              <w:t>Договор представляется в заявке в полном объеме и со всеми приложениями, акты должны быть подписаны со стороны исполнителя и заказчика. Такие документы направляются в форме электронных документов или в форме электронных образов бумажных документов.</w:t>
            </w:r>
          </w:p>
          <w:p w:rsidR="001E7B29" w:rsidRPr="001271FA" w:rsidRDefault="001E7B29" w:rsidP="00F54A5A">
            <w:pPr>
              <w:spacing w:after="120" w:line="259" w:lineRule="auto"/>
              <w:rPr>
                <w:sz w:val="22"/>
                <w:szCs w:val="22"/>
              </w:rPr>
            </w:pPr>
            <w:r>
              <w:t>В случае</w:t>
            </w:r>
            <w:proofErr w:type="gramStart"/>
            <w:r>
              <w:t>,</w:t>
            </w:r>
            <w:proofErr w:type="gramEnd"/>
            <w:r>
              <w:t xml:space="preserve"> если представлено извлечение из договора или отдельные страницы договора, либо договор на оказание услуг, не связанных с предметом контракта или из текста которых невозможно определить характер оказываемых услуг (выполняемых работ), либо не представлены документы об исполнении договора, либо представлены документы о неполном  исполнении договора (акты или иные двухсторонние документы об исполнении договора, несоответствующие по объему и (или) сумме условиям договора, в том числе с учетом всех представленных участником закупки изменений и дополнений к нему), то такой договор не засчитывается.</w:t>
            </w:r>
          </w:p>
        </w:tc>
      </w:tr>
    </w:tbl>
    <w:p w:rsidR="00D35894" w:rsidRDefault="00D35894"/>
    <w:sectPr w:rsidR="00D35894" w:rsidSect="00115F6E">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F1B"/>
    <w:rsid w:val="000A15E0"/>
    <w:rsid w:val="00115F6E"/>
    <w:rsid w:val="001E7B29"/>
    <w:rsid w:val="00391FF7"/>
    <w:rsid w:val="004048D0"/>
    <w:rsid w:val="006710E4"/>
    <w:rsid w:val="006D3935"/>
    <w:rsid w:val="00746FB5"/>
    <w:rsid w:val="00AD34AF"/>
    <w:rsid w:val="00BC7253"/>
    <w:rsid w:val="00C95F1B"/>
    <w:rsid w:val="00D35894"/>
    <w:rsid w:val="00DE6F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7B29"/>
    <w:pPr>
      <w:widowControl w:val="0"/>
      <w:spacing w:after="0" w:line="240" w:lineRule="auto"/>
      <w:ind w:firstLine="400"/>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E7B2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1E7B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alloon Text"/>
    <w:basedOn w:val="a"/>
    <w:link w:val="a5"/>
    <w:uiPriority w:val="99"/>
    <w:semiHidden/>
    <w:unhideWhenUsed/>
    <w:rsid w:val="001E7B29"/>
    <w:rPr>
      <w:rFonts w:ascii="Tahoma" w:hAnsi="Tahoma" w:cs="Tahoma"/>
      <w:sz w:val="16"/>
      <w:szCs w:val="16"/>
    </w:rPr>
  </w:style>
  <w:style w:type="character" w:customStyle="1" w:styleId="a5">
    <w:name w:val="Текст выноски Знак"/>
    <w:basedOn w:val="a0"/>
    <w:link w:val="a4"/>
    <w:uiPriority w:val="99"/>
    <w:semiHidden/>
    <w:rsid w:val="001E7B2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7B29"/>
    <w:pPr>
      <w:widowControl w:val="0"/>
      <w:spacing w:after="0" w:line="240" w:lineRule="auto"/>
      <w:ind w:firstLine="400"/>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E7B2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1E7B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alloon Text"/>
    <w:basedOn w:val="a"/>
    <w:link w:val="a5"/>
    <w:uiPriority w:val="99"/>
    <w:semiHidden/>
    <w:unhideWhenUsed/>
    <w:rsid w:val="001E7B29"/>
    <w:rPr>
      <w:rFonts w:ascii="Tahoma" w:hAnsi="Tahoma" w:cs="Tahoma"/>
      <w:sz w:val="16"/>
      <w:szCs w:val="16"/>
    </w:rPr>
  </w:style>
  <w:style w:type="character" w:customStyle="1" w:styleId="a5">
    <w:name w:val="Текст выноски Знак"/>
    <w:basedOn w:val="a0"/>
    <w:link w:val="a4"/>
    <w:uiPriority w:val="99"/>
    <w:semiHidden/>
    <w:rsid w:val="001E7B2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oleObject" Target="embeddings/oleObject4.bin"/><Relationship Id="rId4" Type="http://schemas.openxmlformats.org/officeDocument/2006/relationships/webSettings" Target="webSettings.xml"/><Relationship Id="rId9" Type="http://schemas.openxmlformats.org/officeDocument/2006/relationships/oleObject" Target="embeddings/oleObject3.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11</Pages>
  <Words>2128</Words>
  <Characters>12135</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14235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Олеся Сергеевна Деханова</dc:creator>
  <cp:keywords/>
  <dc:description/>
  <cp:lastModifiedBy>Олеся Сергеевна Деханова</cp:lastModifiedBy>
  <cp:revision>10</cp:revision>
  <cp:lastPrinted>2022-10-17T09:57:00Z</cp:lastPrinted>
  <dcterms:created xsi:type="dcterms:W3CDTF">2022-09-26T09:32:00Z</dcterms:created>
  <dcterms:modified xsi:type="dcterms:W3CDTF">2022-10-17T09:58:00Z</dcterms:modified>
</cp:coreProperties>
</file>