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312828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2002B8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312828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312828">
        <w:rPr>
          <w:rFonts w:ascii="Times New Roman" w:hAnsi="Times New Roman" w:cs="Times New Roman"/>
          <w:b/>
          <w:sz w:val="18"/>
          <w:szCs w:val="18"/>
        </w:rPr>
        <w:t>3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 2019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312828">
        <w:rPr>
          <w:sz w:val="18"/>
          <w:szCs w:val="18"/>
        </w:rPr>
        <w:t>3</w:t>
      </w:r>
      <w:r>
        <w:rPr>
          <w:sz w:val="18"/>
          <w:szCs w:val="18"/>
        </w:rPr>
        <w:t xml:space="preserve"> квартале 2019 года не осуществляло закупку </w:t>
      </w:r>
      <w:r w:rsidRPr="002002B8">
        <w:rPr>
          <w:sz w:val="18"/>
          <w:szCs w:val="18"/>
        </w:rPr>
        <w:t>металлопродукции.</w:t>
      </w:r>
      <w:bookmarkStart w:id="1" w:name="_GoBack"/>
      <w:bookmarkEnd w:id="1"/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3EDC-7AE5-40B3-BEAE-90FA282E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2019-10-04T07:29:00Z</dcterms:created>
  <dcterms:modified xsi:type="dcterms:W3CDTF">2019-10-04T07:29:00Z</dcterms:modified>
</cp:coreProperties>
</file>