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53AD5" w:rsidRPr="00453AD5">
        <w:rPr>
          <w:rFonts w:ascii="Times New Roman" w:hAnsi="Times New Roman" w:cs="Times New Roman"/>
          <w:b/>
          <w:sz w:val="18"/>
          <w:szCs w:val="18"/>
        </w:rPr>
        <w:t>с 01.01.2019 по 31.03.2019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453AD5">
        <w:rPr>
          <w:sz w:val="18"/>
          <w:szCs w:val="18"/>
        </w:rPr>
        <w:t>1</w:t>
      </w:r>
      <w:bookmarkStart w:id="1" w:name="_GoBack"/>
      <w:bookmarkEnd w:id="1"/>
      <w:r>
        <w:rPr>
          <w:sz w:val="18"/>
          <w:szCs w:val="18"/>
        </w:rPr>
        <w:t xml:space="preserve"> квартале 2019 года не осуществляло закупку </w:t>
      </w:r>
      <w:r w:rsidRPr="002002B8">
        <w:rPr>
          <w:sz w:val="18"/>
          <w:szCs w:val="18"/>
        </w:rPr>
        <w:t>металлопродукции.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53AD5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2676-1812-4D43-B52D-30E8B79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2019-06-27T08:40:00Z</dcterms:created>
  <dcterms:modified xsi:type="dcterms:W3CDTF">2019-06-27T12:33:00Z</dcterms:modified>
</cp:coreProperties>
</file>